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F21" w:rsidRDefault="00542F21" w:rsidP="00542F2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Tradizione e Interpretazione dei testi letterari</w:t>
      </w:r>
    </w:p>
    <w:p w:rsidR="00542F21" w:rsidRDefault="00542F21" w:rsidP="00542F2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Letteratura italiana (magistrale) – I Modulo</w:t>
      </w:r>
    </w:p>
    <w:p w:rsidR="00542F21" w:rsidRDefault="00542F21" w:rsidP="00542F21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. 2017-2018</w:t>
      </w:r>
    </w:p>
    <w:p w:rsidR="00542F21" w:rsidRDefault="00542F21" w:rsidP="00542F21">
      <w:pPr>
        <w:spacing w:after="0" w:line="240" w:lineRule="auto"/>
        <w:jc w:val="center"/>
        <w:rPr>
          <w:sz w:val="28"/>
          <w:szCs w:val="28"/>
        </w:rPr>
      </w:pPr>
    </w:p>
    <w:p w:rsidR="00542F21" w:rsidRDefault="00542F21" w:rsidP="00542F21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b/>
          <w:i/>
          <w:sz w:val="28"/>
          <w:szCs w:val="28"/>
        </w:rPr>
        <w:t xml:space="preserve">Letture del </w:t>
      </w:r>
      <w:r>
        <w:rPr>
          <w:rFonts w:cstheme="minorHAnsi"/>
          <w:b/>
          <w:i/>
          <w:sz w:val="28"/>
          <w:szCs w:val="28"/>
        </w:rPr>
        <w:t>«Decameron»</w:t>
      </w:r>
      <w:r>
        <w:rPr>
          <w:rFonts w:cstheme="minorHAnsi"/>
          <w:sz w:val="28"/>
          <w:szCs w:val="28"/>
        </w:rPr>
        <w:t>: programma analitico</w:t>
      </w:r>
    </w:p>
    <w:p w:rsidR="00542F21" w:rsidRDefault="00542F21" w:rsidP="00542F2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542F21" w:rsidRDefault="00542F21" w:rsidP="00542F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42F21">
        <w:rPr>
          <w:rFonts w:cstheme="minorHAnsi"/>
          <w:b/>
          <w:sz w:val="28"/>
          <w:szCs w:val="28"/>
        </w:rPr>
        <w:t>Preliminari</w:t>
      </w:r>
    </w:p>
    <w:p w:rsidR="00542F21" w:rsidRDefault="00542F21" w:rsidP="001F7A33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una conoscenza integrale</w:t>
      </w:r>
      <w:r w:rsidR="001F7A33">
        <w:rPr>
          <w:rFonts w:cstheme="minorHAnsi"/>
          <w:sz w:val="24"/>
          <w:szCs w:val="24"/>
        </w:rPr>
        <w:t xml:space="preserve"> d</w:t>
      </w:r>
      <w:r w:rsidR="00443D98">
        <w:rPr>
          <w:rFonts w:cstheme="minorHAnsi"/>
          <w:sz w:val="24"/>
          <w:szCs w:val="24"/>
        </w:rPr>
        <w:t>ella letteratura di Boccaccio: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mallCaps/>
          <w:sz w:val="24"/>
          <w:szCs w:val="24"/>
        </w:rPr>
        <w:t xml:space="preserve">Luigi </w:t>
      </w:r>
      <w:proofErr w:type="spellStart"/>
      <w:r>
        <w:rPr>
          <w:rFonts w:cstheme="minorHAnsi"/>
          <w:smallCaps/>
          <w:sz w:val="24"/>
          <w:szCs w:val="24"/>
        </w:rPr>
        <w:t>Surdich</w:t>
      </w:r>
      <w:proofErr w:type="spellEnd"/>
      <w:r w:rsidR="00BB3795">
        <w:rPr>
          <w:rFonts w:cstheme="minorHAnsi"/>
          <w:sz w:val="24"/>
          <w:szCs w:val="24"/>
        </w:rPr>
        <w:t xml:space="preserve">, </w:t>
      </w:r>
      <w:r w:rsidR="00BB3795">
        <w:rPr>
          <w:rFonts w:cstheme="minorHAnsi"/>
          <w:i/>
          <w:sz w:val="24"/>
          <w:szCs w:val="24"/>
        </w:rPr>
        <w:t>Boccaccio</w:t>
      </w:r>
      <w:r w:rsidR="00BB3795">
        <w:rPr>
          <w:rFonts w:cstheme="minorHAnsi"/>
          <w:sz w:val="24"/>
          <w:szCs w:val="24"/>
        </w:rPr>
        <w:t>, Bologna, Il Mulino, 2008 (presentazione e sorvolo parziale e sintetico sui capitoli e sulle parti</w:t>
      </w:r>
      <w:r w:rsidR="008248B7">
        <w:rPr>
          <w:rFonts w:cstheme="minorHAnsi"/>
          <w:sz w:val="24"/>
          <w:szCs w:val="24"/>
        </w:rPr>
        <w:t xml:space="preserve"> del libro</w:t>
      </w:r>
      <w:r w:rsidR="00BB3795">
        <w:rPr>
          <w:rFonts w:cstheme="minorHAnsi"/>
          <w:sz w:val="24"/>
          <w:szCs w:val="24"/>
        </w:rPr>
        <w:t xml:space="preserve">). Indicazioni bibliografiche per una conoscenza generale di Boccaccio (Branca del </w:t>
      </w:r>
      <w:r w:rsidR="00BB3795">
        <w:rPr>
          <w:rFonts w:cstheme="minorHAnsi"/>
          <w:i/>
          <w:sz w:val="24"/>
          <w:szCs w:val="24"/>
        </w:rPr>
        <w:t>Profilo biografico</w:t>
      </w:r>
      <w:r w:rsidR="00BB3795">
        <w:rPr>
          <w:rFonts w:cstheme="minorHAnsi"/>
          <w:sz w:val="24"/>
          <w:szCs w:val="24"/>
        </w:rPr>
        <w:t xml:space="preserve">; e F. Bruni, </w:t>
      </w:r>
      <w:r w:rsidR="00BB3795">
        <w:rPr>
          <w:rFonts w:cstheme="minorHAnsi"/>
          <w:i/>
          <w:sz w:val="24"/>
          <w:szCs w:val="24"/>
        </w:rPr>
        <w:t>Boccaccio e l’invenzione della letteratura mezzana</w:t>
      </w:r>
      <w:r w:rsidR="00BB3795">
        <w:rPr>
          <w:rFonts w:cstheme="minorHAnsi"/>
          <w:sz w:val="24"/>
          <w:szCs w:val="24"/>
        </w:rPr>
        <w:t>). Cenni sulla rivista «Studi sul Boccaccio» e sulla collana ‘Tutte le Opere di Giovanni Boccaccio’, dell’editore Mondadori.</w:t>
      </w:r>
    </w:p>
    <w:p w:rsidR="00E02723" w:rsidRDefault="00E02723" w:rsidP="00542F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2723" w:rsidRDefault="00E02723" w:rsidP="00542F2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02723">
        <w:rPr>
          <w:rFonts w:cstheme="minorHAnsi"/>
          <w:b/>
          <w:sz w:val="28"/>
          <w:szCs w:val="28"/>
        </w:rPr>
        <w:t>Il «Decameron» in quanto libro</w:t>
      </w:r>
    </w:p>
    <w:p w:rsidR="00E02723" w:rsidRPr="00466A2E" w:rsidRDefault="00E02723" w:rsidP="001F7A33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466A2E">
        <w:rPr>
          <w:rFonts w:cstheme="minorHAnsi"/>
          <w:sz w:val="24"/>
          <w:szCs w:val="24"/>
        </w:rPr>
        <w:t xml:space="preserve">Prevenzioni crociane e recupero della struttura del </w:t>
      </w:r>
      <w:r w:rsidRPr="00466A2E">
        <w:rPr>
          <w:rFonts w:cstheme="minorHAnsi"/>
          <w:i/>
          <w:sz w:val="24"/>
          <w:szCs w:val="24"/>
        </w:rPr>
        <w:t>Decameron</w:t>
      </w:r>
      <w:r w:rsidRPr="00466A2E">
        <w:rPr>
          <w:rFonts w:cstheme="minorHAnsi"/>
          <w:sz w:val="24"/>
          <w:szCs w:val="24"/>
        </w:rPr>
        <w:t xml:space="preserve">: </w:t>
      </w:r>
      <w:r w:rsidR="00D03484" w:rsidRPr="00466A2E">
        <w:rPr>
          <w:rFonts w:cstheme="minorHAnsi"/>
          <w:smallCaps/>
          <w:sz w:val="24"/>
          <w:szCs w:val="24"/>
        </w:rPr>
        <w:t>V</w:t>
      </w:r>
      <w:r w:rsidR="00443D98">
        <w:rPr>
          <w:rFonts w:cstheme="minorHAnsi"/>
          <w:smallCaps/>
          <w:sz w:val="24"/>
          <w:szCs w:val="24"/>
        </w:rPr>
        <w:t>ittore</w:t>
      </w:r>
      <w:r w:rsidR="00D03484" w:rsidRPr="00466A2E">
        <w:rPr>
          <w:rFonts w:cstheme="minorHAnsi"/>
          <w:smallCaps/>
          <w:sz w:val="24"/>
          <w:szCs w:val="24"/>
        </w:rPr>
        <w:t xml:space="preserve"> Branca, </w:t>
      </w:r>
      <w:r w:rsidR="00D03484" w:rsidRPr="00466A2E">
        <w:rPr>
          <w:rFonts w:cstheme="minorHAnsi"/>
          <w:i/>
          <w:sz w:val="24"/>
          <w:szCs w:val="24"/>
        </w:rPr>
        <w:t>Boccaccio medievale</w:t>
      </w:r>
      <w:r w:rsidR="00D03484" w:rsidRPr="00466A2E">
        <w:rPr>
          <w:rFonts w:cstheme="minorHAnsi"/>
          <w:sz w:val="24"/>
          <w:szCs w:val="24"/>
        </w:rPr>
        <w:t xml:space="preserve">, Firenze, Sansoni, 1970; cap. II: </w:t>
      </w:r>
      <w:r w:rsidR="00D03484" w:rsidRPr="00466A2E">
        <w:rPr>
          <w:rFonts w:cstheme="minorHAnsi"/>
          <w:i/>
          <w:sz w:val="24"/>
          <w:szCs w:val="24"/>
        </w:rPr>
        <w:t>Coerenza ideale e funzione unitaria dell’Introduzione</w:t>
      </w:r>
      <w:r w:rsidR="00D03484" w:rsidRPr="00466A2E">
        <w:rPr>
          <w:rFonts w:cstheme="minorHAnsi"/>
          <w:sz w:val="24"/>
          <w:szCs w:val="24"/>
        </w:rPr>
        <w:t xml:space="preserve">, pp. 31-44; </w:t>
      </w:r>
      <w:r w:rsidR="00D03484" w:rsidRPr="00466A2E">
        <w:rPr>
          <w:rFonts w:cstheme="minorHAnsi"/>
          <w:smallCaps/>
          <w:sz w:val="24"/>
          <w:szCs w:val="24"/>
        </w:rPr>
        <w:t xml:space="preserve">F. </w:t>
      </w:r>
      <w:proofErr w:type="spellStart"/>
      <w:r w:rsidR="00D03484" w:rsidRPr="00466A2E">
        <w:rPr>
          <w:rFonts w:cstheme="minorHAnsi"/>
          <w:smallCaps/>
          <w:sz w:val="24"/>
          <w:szCs w:val="24"/>
        </w:rPr>
        <w:t>Bausi</w:t>
      </w:r>
      <w:proofErr w:type="spellEnd"/>
      <w:r w:rsidR="00D03484" w:rsidRPr="00466A2E">
        <w:rPr>
          <w:rFonts w:cstheme="minorHAnsi"/>
          <w:smallCaps/>
          <w:sz w:val="24"/>
          <w:szCs w:val="24"/>
        </w:rPr>
        <w:t xml:space="preserve">, </w:t>
      </w:r>
      <w:r w:rsidR="00D03484" w:rsidRPr="00466A2E">
        <w:rPr>
          <w:rFonts w:cstheme="minorHAnsi"/>
          <w:i/>
          <w:sz w:val="24"/>
          <w:szCs w:val="24"/>
        </w:rPr>
        <w:t>Leggere il ‘Decameron’</w:t>
      </w:r>
      <w:r w:rsidR="00D03484" w:rsidRPr="00466A2E">
        <w:rPr>
          <w:rFonts w:cstheme="minorHAnsi"/>
          <w:sz w:val="24"/>
          <w:szCs w:val="24"/>
        </w:rPr>
        <w:t xml:space="preserve">, Bologna, Il Mulino, 2017; cap. 2: </w:t>
      </w:r>
      <w:r w:rsidR="00D03484" w:rsidRPr="00466A2E">
        <w:rPr>
          <w:rFonts w:cstheme="minorHAnsi"/>
          <w:i/>
          <w:sz w:val="24"/>
          <w:szCs w:val="24"/>
        </w:rPr>
        <w:t>Le strutture (</w:t>
      </w:r>
      <w:proofErr w:type="spellStart"/>
      <w:r w:rsidR="00D03484" w:rsidRPr="00466A2E">
        <w:rPr>
          <w:rFonts w:cstheme="minorHAnsi"/>
          <w:i/>
          <w:sz w:val="24"/>
          <w:szCs w:val="24"/>
        </w:rPr>
        <w:t>im</w:t>
      </w:r>
      <w:proofErr w:type="spellEnd"/>
      <w:r w:rsidR="00D03484" w:rsidRPr="00466A2E">
        <w:rPr>
          <w:rFonts w:cstheme="minorHAnsi"/>
          <w:i/>
          <w:sz w:val="24"/>
          <w:szCs w:val="24"/>
        </w:rPr>
        <w:t>)portanti</w:t>
      </w:r>
      <w:r w:rsidR="00CB0BA3" w:rsidRPr="00466A2E">
        <w:rPr>
          <w:rFonts w:cstheme="minorHAnsi"/>
          <w:sz w:val="24"/>
          <w:szCs w:val="24"/>
        </w:rPr>
        <w:t>, pp. 15-36.</w:t>
      </w:r>
    </w:p>
    <w:p w:rsidR="00466A2E" w:rsidRDefault="008248B7" w:rsidP="001F7A33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466A2E">
        <w:rPr>
          <w:rFonts w:cstheme="minorHAnsi"/>
          <w:sz w:val="24"/>
          <w:szCs w:val="24"/>
        </w:rPr>
        <w:t>La peste del 1348</w:t>
      </w:r>
      <w:r w:rsidR="00466A2E">
        <w:rPr>
          <w:rFonts w:cstheme="minorHAnsi"/>
          <w:sz w:val="24"/>
          <w:szCs w:val="24"/>
        </w:rPr>
        <w:t xml:space="preserve"> e la (quasi) salvezza</w:t>
      </w:r>
      <w:r w:rsidRPr="00466A2E">
        <w:rPr>
          <w:rFonts w:cstheme="minorHAnsi"/>
          <w:sz w:val="24"/>
          <w:szCs w:val="24"/>
        </w:rPr>
        <w:t xml:space="preserve"> (</w:t>
      </w:r>
      <w:r w:rsidR="002A04CF">
        <w:rPr>
          <w:rFonts w:cstheme="minorHAnsi"/>
          <w:smallCaps/>
          <w:sz w:val="24"/>
          <w:szCs w:val="24"/>
        </w:rPr>
        <w:t>Giuseppe Chiecchi,</w:t>
      </w:r>
      <w:r w:rsidR="002A04CF" w:rsidRPr="00466A2E">
        <w:rPr>
          <w:rFonts w:cstheme="minorHAnsi"/>
          <w:i/>
          <w:sz w:val="24"/>
          <w:szCs w:val="24"/>
        </w:rPr>
        <w:t xml:space="preserve"> </w:t>
      </w:r>
      <w:r w:rsidRPr="00466A2E">
        <w:rPr>
          <w:rFonts w:cstheme="minorHAnsi"/>
          <w:i/>
          <w:sz w:val="24"/>
          <w:szCs w:val="24"/>
        </w:rPr>
        <w:t>Nell’arte narrativa di Giovanni Boccaccio</w:t>
      </w:r>
      <w:r w:rsidRPr="00466A2E">
        <w:rPr>
          <w:rFonts w:cstheme="minorHAnsi"/>
          <w:sz w:val="24"/>
          <w:szCs w:val="24"/>
        </w:rPr>
        <w:t xml:space="preserve">, Firenze, </w:t>
      </w:r>
      <w:proofErr w:type="spellStart"/>
      <w:r w:rsidRPr="00466A2E">
        <w:rPr>
          <w:rFonts w:cstheme="minorHAnsi"/>
          <w:sz w:val="24"/>
          <w:szCs w:val="24"/>
        </w:rPr>
        <w:t>Olschki</w:t>
      </w:r>
      <w:proofErr w:type="spellEnd"/>
      <w:r w:rsidRPr="00466A2E">
        <w:rPr>
          <w:rFonts w:cstheme="minorHAnsi"/>
          <w:sz w:val="24"/>
          <w:szCs w:val="24"/>
        </w:rPr>
        <w:t xml:space="preserve">, 2017; II: </w:t>
      </w:r>
      <w:r w:rsidRPr="00466A2E">
        <w:rPr>
          <w:rFonts w:cstheme="minorHAnsi"/>
          <w:i/>
          <w:sz w:val="24"/>
          <w:szCs w:val="24"/>
        </w:rPr>
        <w:t>Il campo stretto del narrare</w:t>
      </w:r>
      <w:r w:rsidR="00C82B84">
        <w:rPr>
          <w:rFonts w:cstheme="minorHAnsi"/>
          <w:sz w:val="24"/>
          <w:szCs w:val="24"/>
        </w:rPr>
        <w:t xml:space="preserve">, </w:t>
      </w:r>
      <w:proofErr w:type="spellStart"/>
      <w:r w:rsidR="00C82B84">
        <w:rPr>
          <w:rFonts w:cstheme="minorHAnsi"/>
          <w:sz w:val="24"/>
          <w:szCs w:val="24"/>
        </w:rPr>
        <w:t>sopratt</w:t>
      </w:r>
      <w:proofErr w:type="spellEnd"/>
      <w:r w:rsidR="00C82B84">
        <w:rPr>
          <w:rFonts w:cstheme="minorHAnsi"/>
          <w:sz w:val="24"/>
          <w:szCs w:val="24"/>
        </w:rPr>
        <w:t>. pp. 133-49)</w:t>
      </w:r>
      <w:r w:rsidR="00466A2E">
        <w:rPr>
          <w:rFonts w:cstheme="minorHAnsi"/>
          <w:sz w:val="24"/>
          <w:szCs w:val="24"/>
        </w:rPr>
        <w:t xml:space="preserve">: </w:t>
      </w:r>
      <w:proofErr w:type="spellStart"/>
      <w:r w:rsidR="00466A2E">
        <w:rPr>
          <w:rFonts w:cstheme="minorHAnsi"/>
          <w:i/>
          <w:sz w:val="24"/>
          <w:szCs w:val="24"/>
        </w:rPr>
        <w:t>Dec</w:t>
      </w:r>
      <w:proofErr w:type="spellEnd"/>
      <w:r w:rsidR="00466A2E">
        <w:rPr>
          <w:rFonts w:cstheme="minorHAnsi"/>
          <w:i/>
          <w:sz w:val="24"/>
          <w:szCs w:val="24"/>
        </w:rPr>
        <w:t>.</w:t>
      </w:r>
      <w:r w:rsidR="00466A2E">
        <w:rPr>
          <w:rFonts w:cstheme="minorHAnsi"/>
          <w:sz w:val="24"/>
          <w:szCs w:val="24"/>
        </w:rPr>
        <w:t xml:space="preserve">, </w:t>
      </w:r>
      <w:proofErr w:type="spellStart"/>
      <w:r w:rsidR="00466A2E" w:rsidRPr="00466A2E">
        <w:rPr>
          <w:rFonts w:cstheme="minorHAnsi"/>
          <w:i/>
          <w:sz w:val="24"/>
          <w:szCs w:val="24"/>
        </w:rPr>
        <w:t>Intr</w:t>
      </w:r>
      <w:proofErr w:type="spellEnd"/>
      <w:r w:rsidR="00466A2E">
        <w:rPr>
          <w:rFonts w:cstheme="minorHAnsi"/>
          <w:sz w:val="24"/>
          <w:szCs w:val="24"/>
        </w:rPr>
        <w:t>., 1-48 e 49-89.</w:t>
      </w:r>
    </w:p>
    <w:p w:rsidR="008248B7" w:rsidRDefault="00466A2E" w:rsidP="001F7A33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finalità e le connessioni del </w:t>
      </w:r>
      <w:r>
        <w:rPr>
          <w:rFonts w:cstheme="minorHAnsi"/>
          <w:i/>
          <w:sz w:val="24"/>
          <w:szCs w:val="24"/>
        </w:rPr>
        <w:t>Decameron</w:t>
      </w:r>
      <w:r>
        <w:rPr>
          <w:rFonts w:cstheme="minorHAnsi"/>
          <w:sz w:val="24"/>
          <w:szCs w:val="24"/>
        </w:rPr>
        <w:t>: numeri strutturali e simbolici, simmetrie e rapporti interni (</w:t>
      </w:r>
      <w:proofErr w:type="spellStart"/>
      <w:r>
        <w:rPr>
          <w:rFonts w:cstheme="minorHAnsi"/>
          <w:smallCaps/>
          <w:sz w:val="24"/>
          <w:szCs w:val="24"/>
        </w:rPr>
        <w:t>Surdich</w:t>
      </w:r>
      <w:proofErr w:type="spellEnd"/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Boccaccio</w:t>
      </w:r>
      <w:r w:rsidR="00C82B84">
        <w:rPr>
          <w:rFonts w:cstheme="minorHAnsi"/>
          <w:sz w:val="24"/>
          <w:szCs w:val="24"/>
        </w:rPr>
        <w:t>, cit. pp. 64-80):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Dec</w:t>
      </w:r>
      <w:proofErr w:type="spellEnd"/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., </w:t>
      </w:r>
      <w:r w:rsidRPr="00466A2E">
        <w:rPr>
          <w:rFonts w:cstheme="minorHAnsi"/>
          <w:i/>
          <w:sz w:val="24"/>
          <w:szCs w:val="24"/>
        </w:rPr>
        <w:t>Proemio</w:t>
      </w:r>
      <w:r>
        <w:rPr>
          <w:rFonts w:cstheme="minorHAnsi"/>
          <w:sz w:val="24"/>
          <w:szCs w:val="24"/>
        </w:rPr>
        <w:t>.</w:t>
      </w:r>
    </w:p>
    <w:p w:rsidR="006D23C7" w:rsidRDefault="006D23C7" w:rsidP="006D23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23C7" w:rsidRDefault="006D23C7" w:rsidP="006D23C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 luoghi del narrare</w:t>
      </w:r>
    </w:p>
    <w:p w:rsidR="00C82B84" w:rsidRDefault="00C82B84" w:rsidP="001F7A33">
      <w:pPr>
        <w:spacing w:after="0" w:line="240" w:lineRule="auto"/>
        <w:ind w:firstLine="284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Cfr. </w:t>
      </w:r>
      <w:r>
        <w:rPr>
          <w:rFonts w:cstheme="minorHAnsi"/>
          <w:i/>
          <w:sz w:val="24"/>
          <w:szCs w:val="24"/>
        </w:rPr>
        <w:t>Nell’arte narrativa …</w:t>
      </w:r>
      <w:r>
        <w:rPr>
          <w:rFonts w:cstheme="minorHAnsi"/>
          <w:sz w:val="24"/>
          <w:szCs w:val="24"/>
        </w:rPr>
        <w:t xml:space="preserve">, cit., cap. II: </w:t>
      </w:r>
      <w:r>
        <w:rPr>
          <w:rFonts w:cstheme="minorHAnsi"/>
          <w:i/>
          <w:sz w:val="24"/>
          <w:szCs w:val="24"/>
        </w:rPr>
        <w:t>Dal ‘</w:t>
      </w:r>
      <w:proofErr w:type="spellStart"/>
      <w:r>
        <w:rPr>
          <w:rFonts w:cstheme="minorHAnsi"/>
          <w:i/>
          <w:sz w:val="24"/>
          <w:szCs w:val="24"/>
        </w:rPr>
        <w:t>Filocolo</w:t>
      </w:r>
      <w:proofErr w:type="spellEnd"/>
      <w:r>
        <w:rPr>
          <w:rFonts w:cstheme="minorHAnsi"/>
          <w:i/>
          <w:sz w:val="24"/>
          <w:szCs w:val="24"/>
        </w:rPr>
        <w:t>’ al ‘Decameron’…</w:t>
      </w:r>
      <w:r>
        <w:rPr>
          <w:rFonts w:cstheme="minorHAnsi"/>
          <w:sz w:val="24"/>
          <w:szCs w:val="24"/>
        </w:rPr>
        <w:t>, pp. 41-91.</w:t>
      </w:r>
    </w:p>
    <w:p w:rsidR="006D23C7" w:rsidRDefault="006D23C7" w:rsidP="001F7A33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giardini di Boccaccio prima de</w:t>
      </w:r>
      <w:r w:rsidR="00F65535">
        <w:rPr>
          <w:rFonts w:cstheme="minorHAnsi"/>
          <w:sz w:val="24"/>
          <w:szCs w:val="24"/>
        </w:rPr>
        <w:t xml:space="preserve">l </w:t>
      </w:r>
      <w:r w:rsidR="00F65535">
        <w:rPr>
          <w:rFonts w:cstheme="minorHAnsi"/>
          <w:i/>
          <w:sz w:val="24"/>
          <w:szCs w:val="24"/>
        </w:rPr>
        <w:t>Decameron</w:t>
      </w:r>
      <w:r w:rsidR="00F65535">
        <w:rPr>
          <w:rFonts w:cstheme="minorHAnsi"/>
          <w:sz w:val="24"/>
          <w:szCs w:val="24"/>
        </w:rPr>
        <w:t xml:space="preserve">: il giardino delle 13 questioni d’amore: </w:t>
      </w:r>
      <w:proofErr w:type="spellStart"/>
      <w:r w:rsidR="00F65535">
        <w:rPr>
          <w:rFonts w:cstheme="minorHAnsi"/>
          <w:i/>
          <w:sz w:val="24"/>
          <w:szCs w:val="24"/>
        </w:rPr>
        <w:t>Filocolo</w:t>
      </w:r>
      <w:proofErr w:type="spellEnd"/>
      <w:r w:rsidR="00F65535">
        <w:rPr>
          <w:rFonts w:cstheme="minorHAnsi"/>
          <w:sz w:val="24"/>
          <w:szCs w:val="24"/>
        </w:rPr>
        <w:t>, IV, 17; i bagni di Baia (</w:t>
      </w:r>
      <w:proofErr w:type="spellStart"/>
      <w:r w:rsidR="00F65535">
        <w:rPr>
          <w:rFonts w:cstheme="minorHAnsi"/>
          <w:i/>
          <w:sz w:val="24"/>
          <w:szCs w:val="24"/>
        </w:rPr>
        <w:t>Filocolo</w:t>
      </w:r>
      <w:proofErr w:type="spellEnd"/>
      <w:r w:rsidR="00F65535">
        <w:rPr>
          <w:rFonts w:cstheme="minorHAnsi"/>
          <w:sz w:val="24"/>
          <w:szCs w:val="24"/>
        </w:rPr>
        <w:t xml:space="preserve">, V, 5); la </w:t>
      </w:r>
      <w:r w:rsidR="00F65535">
        <w:rPr>
          <w:rFonts w:cstheme="minorHAnsi"/>
          <w:i/>
          <w:sz w:val="24"/>
          <w:szCs w:val="24"/>
        </w:rPr>
        <w:t>fabula</w:t>
      </w:r>
      <w:r w:rsidR="00F65535">
        <w:rPr>
          <w:rFonts w:cstheme="minorHAnsi"/>
          <w:sz w:val="24"/>
          <w:szCs w:val="24"/>
        </w:rPr>
        <w:t xml:space="preserve"> delle origini nel </w:t>
      </w:r>
      <w:r w:rsidR="00F65535">
        <w:rPr>
          <w:rFonts w:cstheme="minorHAnsi"/>
          <w:i/>
          <w:sz w:val="24"/>
          <w:szCs w:val="24"/>
        </w:rPr>
        <w:t>Ninfale fiesolano</w:t>
      </w:r>
      <w:r w:rsidR="00F65535">
        <w:rPr>
          <w:rFonts w:cstheme="minorHAnsi"/>
          <w:sz w:val="24"/>
          <w:szCs w:val="24"/>
        </w:rPr>
        <w:t xml:space="preserve">; L’estraneità del personaggio: </w:t>
      </w:r>
      <w:r w:rsidR="00F65535">
        <w:rPr>
          <w:rFonts w:cstheme="minorHAnsi"/>
          <w:i/>
          <w:sz w:val="24"/>
          <w:szCs w:val="24"/>
        </w:rPr>
        <w:t>Elegia di madonna Fiammetta</w:t>
      </w:r>
      <w:r w:rsidR="00F65535">
        <w:rPr>
          <w:rFonts w:cstheme="minorHAnsi"/>
          <w:sz w:val="24"/>
          <w:szCs w:val="24"/>
        </w:rPr>
        <w:t>,</w:t>
      </w:r>
      <w:r w:rsidR="00900620">
        <w:rPr>
          <w:rFonts w:cstheme="minorHAnsi"/>
          <w:sz w:val="24"/>
          <w:szCs w:val="24"/>
        </w:rPr>
        <w:t xml:space="preserve"> V,</w:t>
      </w:r>
      <w:r w:rsidR="00F65535">
        <w:rPr>
          <w:rFonts w:cstheme="minorHAnsi"/>
          <w:sz w:val="24"/>
          <w:szCs w:val="24"/>
        </w:rPr>
        <w:t xml:space="preserve"> 16, 3-5; 18, 3-4 e 20, 3-4.</w:t>
      </w:r>
    </w:p>
    <w:p w:rsidR="00F65535" w:rsidRDefault="00F65535" w:rsidP="001F7A33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due giardini del </w:t>
      </w:r>
      <w:r>
        <w:rPr>
          <w:rFonts w:cstheme="minorHAnsi"/>
          <w:i/>
          <w:sz w:val="24"/>
          <w:szCs w:val="24"/>
        </w:rPr>
        <w:t>Decameron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i/>
          <w:sz w:val="24"/>
          <w:szCs w:val="24"/>
        </w:rPr>
        <w:t>Intr</w:t>
      </w:r>
      <w:proofErr w:type="spellEnd"/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, 89-91; </w:t>
      </w:r>
      <w:r w:rsidR="0028295E">
        <w:rPr>
          <w:rFonts w:cstheme="minorHAnsi"/>
          <w:sz w:val="24"/>
          <w:szCs w:val="24"/>
        </w:rPr>
        <w:t xml:space="preserve">II, </w:t>
      </w:r>
      <w:proofErr w:type="spellStart"/>
      <w:r w:rsidR="0028295E">
        <w:rPr>
          <w:rFonts w:cstheme="minorHAnsi"/>
          <w:i/>
          <w:sz w:val="24"/>
          <w:szCs w:val="24"/>
        </w:rPr>
        <w:t>Concl</w:t>
      </w:r>
      <w:proofErr w:type="spellEnd"/>
      <w:r w:rsidR="0028295E">
        <w:rPr>
          <w:rFonts w:cstheme="minorHAnsi"/>
          <w:i/>
          <w:sz w:val="24"/>
          <w:szCs w:val="24"/>
        </w:rPr>
        <w:t>.</w:t>
      </w:r>
      <w:r w:rsidR="0028295E">
        <w:rPr>
          <w:rFonts w:cstheme="minorHAnsi"/>
          <w:sz w:val="24"/>
          <w:szCs w:val="24"/>
        </w:rPr>
        <w:t xml:space="preserve">, 7-9-III, </w:t>
      </w:r>
      <w:proofErr w:type="spellStart"/>
      <w:r w:rsidR="0028295E">
        <w:rPr>
          <w:rFonts w:cstheme="minorHAnsi"/>
          <w:i/>
          <w:sz w:val="24"/>
          <w:szCs w:val="24"/>
        </w:rPr>
        <w:t>Intr</w:t>
      </w:r>
      <w:proofErr w:type="spellEnd"/>
      <w:r w:rsidR="0028295E">
        <w:rPr>
          <w:rFonts w:cstheme="minorHAnsi"/>
          <w:sz w:val="24"/>
          <w:szCs w:val="24"/>
        </w:rPr>
        <w:t xml:space="preserve">., 1-15. La Valle delle donne: </w:t>
      </w:r>
      <w:proofErr w:type="spellStart"/>
      <w:r w:rsidR="0028295E">
        <w:rPr>
          <w:rFonts w:cstheme="minorHAnsi"/>
          <w:i/>
          <w:sz w:val="24"/>
          <w:szCs w:val="24"/>
        </w:rPr>
        <w:t>Dec</w:t>
      </w:r>
      <w:proofErr w:type="spellEnd"/>
      <w:r w:rsidR="0028295E">
        <w:rPr>
          <w:rFonts w:cstheme="minorHAnsi"/>
          <w:sz w:val="24"/>
          <w:szCs w:val="24"/>
        </w:rPr>
        <w:t>., VI,</w:t>
      </w:r>
      <w:r w:rsidR="00900620">
        <w:rPr>
          <w:rFonts w:cstheme="minorHAnsi"/>
          <w:i/>
          <w:sz w:val="24"/>
          <w:szCs w:val="24"/>
        </w:rPr>
        <w:t xml:space="preserve"> Concl.</w:t>
      </w:r>
      <w:r w:rsidR="00900620">
        <w:rPr>
          <w:rFonts w:cstheme="minorHAnsi"/>
          <w:sz w:val="24"/>
          <w:szCs w:val="24"/>
        </w:rPr>
        <w:t>,</w:t>
      </w:r>
      <w:r w:rsidR="0028295E">
        <w:rPr>
          <w:rFonts w:cstheme="minorHAnsi"/>
          <w:sz w:val="24"/>
          <w:szCs w:val="24"/>
        </w:rPr>
        <w:t xml:space="preserve"> 17-32. Il boschetto: </w:t>
      </w:r>
      <w:proofErr w:type="spellStart"/>
      <w:r w:rsidR="0028295E">
        <w:rPr>
          <w:rFonts w:cstheme="minorHAnsi"/>
          <w:i/>
          <w:sz w:val="24"/>
          <w:szCs w:val="24"/>
        </w:rPr>
        <w:t>Dec</w:t>
      </w:r>
      <w:proofErr w:type="spellEnd"/>
      <w:r w:rsidR="0028295E">
        <w:rPr>
          <w:rFonts w:cstheme="minorHAnsi"/>
          <w:i/>
          <w:sz w:val="24"/>
          <w:szCs w:val="24"/>
        </w:rPr>
        <w:t>.</w:t>
      </w:r>
      <w:r w:rsidR="0028295E">
        <w:rPr>
          <w:rFonts w:cstheme="minorHAnsi"/>
          <w:sz w:val="24"/>
          <w:szCs w:val="24"/>
        </w:rPr>
        <w:t xml:space="preserve">, IX, </w:t>
      </w:r>
      <w:proofErr w:type="spellStart"/>
      <w:r w:rsidR="0028295E">
        <w:rPr>
          <w:rFonts w:cstheme="minorHAnsi"/>
          <w:i/>
          <w:sz w:val="24"/>
          <w:szCs w:val="24"/>
        </w:rPr>
        <w:t>Intr</w:t>
      </w:r>
      <w:proofErr w:type="spellEnd"/>
      <w:r w:rsidR="0028295E">
        <w:rPr>
          <w:rFonts w:cstheme="minorHAnsi"/>
          <w:i/>
          <w:sz w:val="24"/>
          <w:szCs w:val="24"/>
        </w:rPr>
        <w:t>.</w:t>
      </w:r>
      <w:r w:rsidR="0028295E">
        <w:rPr>
          <w:rFonts w:cstheme="minorHAnsi"/>
          <w:sz w:val="24"/>
          <w:szCs w:val="24"/>
        </w:rPr>
        <w:t>, 3-5.</w:t>
      </w:r>
    </w:p>
    <w:p w:rsidR="00C82B84" w:rsidRDefault="00C82B84" w:rsidP="001F7A33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‘Giardino d’inverno’: </w:t>
      </w:r>
      <w:proofErr w:type="spellStart"/>
      <w:r>
        <w:rPr>
          <w:rFonts w:cstheme="minorHAnsi"/>
          <w:i/>
          <w:sz w:val="24"/>
          <w:szCs w:val="24"/>
        </w:rPr>
        <w:t>Filocolo</w:t>
      </w:r>
      <w:proofErr w:type="spellEnd"/>
      <w:r>
        <w:rPr>
          <w:rFonts w:cstheme="minorHAnsi"/>
          <w:sz w:val="24"/>
          <w:szCs w:val="24"/>
        </w:rPr>
        <w:t xml:space="preserve">, 4, 31; </w:t>
      </w:r>
      <w:proofErr w:type="spellStart"/>
      <w:r>
        <w:rPr>
          <w:rFonts w:cstheme="minorHAnsi"/>
          <w:i/>
          <w:sz w:val="24"/>
          <w:szCs w:val="24"/>
        </w:rPr>
        <w:t>Dec</w:t>
      </w:r>
      <w:proofErr w:type="spellEnd"/>
      <w:r>
        <w:rPr>
          <w:rFonts w:cstheme="minorHAnsi"/>
          <w:sz w:val="24"/>
          <w:szCs w:val="24"/>
        </w:rPr>
        <w:t>., X, 5.</w:t>
      </w:r>
    </w:p>
    <w:p w:rsidR="001F7A33" w:rsidRPr="001F7A33" w:rsidRDefault="001F7A33" w:rsidP="001F7A33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F7A33" w:rsidRPr="001F7A33" w:rsidRDefault="001F7A33" w:rsidP="004D5A6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L’autore e il personaggio</w:t>
      </w:r>
      <w:r>
        <w:rPr>
          <w:b/>
          <w:sz w:val="28"/>
          <w:szCs w:val="28"/>
        </w:rPr>
        <w:tab/>
      </w:r>
    </w:p>
    <w:p w:rsidR="004D5A65" w:rsidRDefault="004D5A65" w:rsidP="004D5A65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proofErr w:type="spellStart"/>
      <w:r w:rsidRPr="004D5A65">
        <w:rPr>
          <w:rFonts w:cstheme="minorHAnsi"/>
          <w:i/>
          <w:sz w:val="24"/>
          <w:szCs w:val="24"/>
        </w:rPr>
        <w:t>Filocolo</w:t>
      </w:r>
      <w:proofErr w:type="spellEnd"/>
      <w:r>
        <w:rPr>
          <w:rFonts w:cstheme="minorHAnsi"/>
          <w:sz w:val="24"/>
          <w:szCs w:val="24"/>
        </w:rPr>
        <w:t xml:space="preserve"> come archetipo delle possibilità diegetiche: </w:t>
      </w:r>
      <w:proofErr w:type="spellStart"/>
      <w:r w:rsidRPr="003A6A96">
        <w:rPr>
          <w:rFonts w:cstheme="minorHAnsi"/>
          <w:b/>
          <w:sz w:val="24"/>
          <w:szCs w:val="24"/>
        </w:rPr>
        <w:t>Caleon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="003A6A96">
        <w:rPr>
          <w:rFonts w:cstheme="minorHAnsi"/>
          <w:sz w:val="24"/>
          <w:szCs w:val="24"/>
        </w:rPr>
        <w:t xml:space="preserve">IV, 16: presentato, nomina e presenta Fiammetta; V, 47: viene incaricato del governo di </w:t>
      </w:r>
      <w:proofErr w:type="spellStart"/>
      <w:r w:rsidR="003A6A96">
        <w:rPr>
          <w:rFonts w:cstheme="minorHAnsi"/>
          <w:sz w:val="24"/>
          <w:szCs w:val="24"/>
        </w:rPr>
        <w:t>Calocepe</w:t>
      </w:r>
      <w:proofErr w:type="spellEnd"/>
      <w:r w:rsidR="003A6A96">
        <w:rPr>
          <w:rFonts w:cstheme="minorHAnsi"/>
          <w:sz w:val="24"/>
          <w:szCs w:val="24"/>
        </w:rPr>
        <w:t xml:space="preserve">-Certaldo); </w:t>
      </w:r>
      <w:proofErr w:type="spellStart"/>
      <w:r w:rsidR="003A6A96" w:rsidRPr="003A6A96">
        <w:rPr>
          <w:rFonts w:cstheme="minorHAnsi"/>
          <w:b/>
          <w:sz w:val="24"/>
          <w:szCs w:val="24"/>
        </w:rPr>
        <w:t>Idalogo</w:t>
      </w:r>
      <w:proofErr w:type="spellEnd"/>
      <w:r w:rsidR="003A6A96">
        <w:rPr>
          <w:rFonts w:cstheme="minorHAnsi"/>
          <w:sz w:val="24"/>
          <w:szCs w:val="24"/>
        </w:rPr>
        <w:t xml:space="preserve">, trasformato in pino, racconta di sé (V, 8); </w:t>
      </w:r>
      <w:r w:rsidR="003A6A96">
        <w:rPr>
          <w:rFonts w:cstheme="minorHAnsi"/>
          <w:b/>
          <w:sz w:val="24"/>
          <w:szCs w:val="24"/>
        </w:rPr>
        <w:t>Fileno</w:t>
      </w:r>
      <w:r w:rsidR="00443D98">
        <w:rPr>
          <w:rFonts w:cstheme="minorHAnsi"/>
          <w:b/>
          <w:sz w:val="24"/>
          <w:szCs w:val="24"/>
        </w:rPr>
        <w:t xml:space="preserve"> </w:t>
      </w:r>
      <w:r w:rsidR="00443D98">
        <w:rPr>
          <w:rFonts w:cstheme="minorHAnsi"/>
          <w:sz w:val="24"/>
          <w:szCs w:val="24"/>
        </w:rPr>
        <w:t xml:space="preserve">IV, 3: racconta di sé e della sua metamorfosi in fonte); </w:t>
      </w:r>
      <w:r w:rsidR="00443D98">
        <w:rPr>
          <w:rFonts w:cstheme="minorHAnsi"/>
          <w:b/>
          <w:sz w:val="24"/>
          <w:szCs w:val="24"/>
        </w:rPr>
        <w:t xml:space="preserve">Maria / Fiammetta </w:t>
      </w:r>
      <w:r w:rsidR="00443D98">
        <w:rPr>
          <w:rFonts w:cstheme="minorHAnsi"/>
          <w:sz w:val="24"/>
          <w:szCs w:val="24"/>
        </w:rPr>
        <w:t xml:space="preserve">(I, 1, 15; IV, 16). Per tutto questo, cfr. </w:t>
      </w:r>
      <w:r w:rsidR="002A04CF">
        <w:rPr>
          <w:rFonts w:cstheme="minorHAnsi"/>
          <w:smallCaps/>
          <w:sz w:val="24"/>
          <w:szCs w:val="24"/>
        </w:rPr>
        <w:t xml:space="preserve">Giuseppe Chiecchi, </w:t>
      </w:r>
      <w:r w:rsidR="002A04CF" w:rsidRPr="007F5A25">
        <w:rPr>
          <w:rFonts w:cstheme="minorHAnsi"/>
          <w:sz w:val="24"/>
          <w:szCs w:val="24"/>
        </w:rPr>
        <w:t>Dante, Boccaccio, l’origine</w:t>
      </w:r>
      <w:r w:rsidR="002A04CF">
        <w:rPr>
          <w:rFonts w:cstheme="minorHAnsi"/>
          <w:sz w:val="24"/>
          <w:szCs w:val="24"/>
        </w:rPr>
        <w:t xml:space="preserve">, Firenze, </w:t>
      </w:r>
      <w:proofErr w:type="spellStart"/>
      <w:r w:rsidR="002A04CF">
        <w:rPr>
          <w:rFonts w:cstheme="minorHAnsi"/>
          <w:sz w:val="24"/>
          <w:szCs w:val="24"/>
        </w:rPr>
        <w:t>Olschki</w:t>
      </w:r>
      <w:proofErr w:type="spellEnd"/>
      <w:r w:rsidR="002A04CF">
        <w:rPr>
          <w:rFonts w:cstheme="minorHAnsi"/>
          <w:sz w:val="24"/>
          <w:szCs w:val="24"/>
        </w:rPr>
        <w:t xml:space="preserve">, 2013; II: </w:t>
      </w:r>
      <w:r w:rsidR="002A04CF">
        <w:rPr>
          <w:rFonts w:cstheme="minorHAnsi"/>
          <w:i/>
          <w:sz w:val="24"/>
          <w:szCs w:val="24"/>
        </w:rPr>
        <w:t>Le «anticaglie» del ‘</w:t>
      </w:r>
      <w:proofErr w:type="spellStart"/>
      <w:r w:rsidR="002A04CF">
        <w:rPr>
          <w:rFonts w:cstheme="minorHAnsi"/>
          <w:i/>
          <w:sz w:val="24"/>
          <w:szCs w:val="24"/>
        </w:rPr>
        <w:t>Filocolo</w:t>
      </w:r>
      <w:proofErr w:type="spellEnd"/>
      <w:r w:rsidR="002A04CF">
        <w:rPr>
          <w:rFonts w:cstheme="minorHAnsi"/>
          <w:i/>
          <w:sz w:val="24"/>
          <w:szCs w:val="24"/>
        </w:rPr>
        <w:t>’: fondazioni e metamorfosi</w:t>
      </w:r>
      <w:r w:rsidR="002A04CF">
        <w:rPr>
          <w:rFonts w:cstheme="minorHAnsi"/>
          <w:sz w:val="24"/>
          <w:szCs w:val="24"/>
        </w:rPr>
        <w:t>, pp. 87-121.</w:t>
      </w:r>
    </w:p>
    <w:p w:rsidR="002A04CF" w:rsidRDefault="002A04CF" w:rsidP="004D5A65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Fiammetta dalla </w:t>
      </w:r>
      <w:r>
        <w:rPr>
          <w:rFonts w:cstheme="minorHAnsi"/>
          <w:i/>
          <w:sz w:val="24"/>
          <w:szCs w:val="24"/>
        </w:rPr>
        <w:t>Elegia</w:t>
      </w:r>
      <w:r>
        <w:rPr>
          <w:rFonts w:cstheme="minorHAnsi"/>
          <w:sz w:val="24"/>
          <w:szCs w:val="24"/>
        </w:rPr>
        <w:t xml:space="preserve"> al </w:t>
      </w:r>
      <w:r>
        <w:rPr>
          <w:rFonts w:cstheme="minorHAnsi"/>
          <w:i/>
          <w:sz w:val="24"/>
          <w:szCs w:val="24"/>
        </w:rPr>
        <w:t>Decameron</w:t>
      </w:r>
      <w:r w:rsidR="00D031EC">
        <w:rPr>
          <w:rFonts w:cstheme="minorHAnsi"/>
          <w:sz w:val="24"/>
          <w:szCs w:val="24"/>
        </w:rPr>
        <w:t>; le novelle raccontate da Fiammetta</w:t>
      </w:r>
      <w:r>
        <w:rPr>
          <w:rFonts w:cstheme="minorHAnsi"/>
          <w:sz w:val="24"/>
          <w:szCs w:val="24"/>
        </w:rPr>
        <w:t xml:space="preserve"> (cfr. </w:t>
      </w:r>
      <w:r>
        <w:rPr>
          <w:rFonts w:cstheme="minorHAnsi"/>
          <w:i/>
          <w:sz w:val="24"/>
          <w:szCs w:val="24"/>
        </w:rPr>
        <w:t>Nell’arte narrativa</w:t>
      </w:r>
      <w:r>
        <w:rPr>
          <w:rFonts w:cstheme="minorHAnsi"/>
          <w:sz w:val="24"/>
          <w:szCs w:val="24"/>
        </w:rPr>
        <w:t xml:space="preserve">…, cit., pp. 189-194). La </w:t>
      </w:r>
      <w:proofErr w:type="spellStart"/>
      <w:r>
        <w:rPr>
          <w:rFonts w:cstheme="minorHAnsi"/>
          <w:i/>
          <w:sz w:val="24"/>
          <w:szCs w:val="24"/>
        </w:rPr>
        <w:t>mutatio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nominis</w:t>
      </w:r>
      <w:proofErr w:type="spellEnd"/>
      <w:r>
        <w:rPr>
          <w:rFonts w:cstheme="minorHAnsi"/>
          <w:sz w:val="24"/>
          <w:szCs w:val="24"/>
        </w:rPr>
        <w:t xml:space="preserve"> nel</w:t>
      </w:r>
      <w:r w:rsidR="00FC3E30">
        <w:rPr>
          <w:rFonts w:cstheme="minorHAnsi"/>
          <w:sz w:val="24"/>
          <w:szCs w:val="24"/>
        </w:rPr>
        <w:t>la ‘cornice’ del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Decameron</w:t>
      </w:r>
      <w:r w:rsidR="00FC3E30">
        <w:rPr>
          <w:rFonts w:cstheme="minorHAnsi"/>
          <w:i/>
          <w:sz w:val="24"/>
          <w:szCs w:val="24"/>
        </w:rPr>
        <w:t xml:space="preserve"> </w:t>
      </w:r>
      <w:r w:rsidR="00FC3E30">
        <w:rPr>
          <w:rFonts w:cstheme="minorHAnsi"/>
          <w:sz w:val="24"/>
          <w:szCs w:val="24"/>
        </w:rPr>
        <w:t>(</w:t>
      </w:r>
      <w:proofErr w:type="spellStart"/>
      <w:r w:rsidR="00FC3E30">
        <w:rPr>
          <w:rFonts w:cstheme="minorHAnsi"/>
          <w:i/>
          <w:sz w:val="24"/>
          <w:szCs w:val="24"/>
        </w:rPr>
        <w:t>Intr</w:t>
      </w:r>
      <w:proofErr w:type="spellEnd"/>
      <w:r w:rsidR="00FC3E30">
        <w:rPr>
          <w:rFonts w:cstheme="minorHAnsi"/>
          <w:i/>
          <w:sz w:val="24"/>
          <w:szCs w:val="24"/>
        </w:rPr>
        <w:t>.</w:t>
      </w:r>
      <w:r w:rsidR="00FC3E30">
        <w:rPr>
          <w:rFonts w:cstheme="minorHAnsi"/>
          <w:sz w:val="24"/>
          <w:szCs w:val="24"/>
        </w:rPr>
        <w:t xml:space="preserve">, 51 e 78) e dentro il </w:t>
      </w:r>
      <w:r w:rsidR="00FC3E30">
        <w:rPr>
          <w:rFonts w:cstheme="minorHAnsi"/>
          <w:i/>
          <w:sz w:val="24"/>
          <w:szCs w:val="24"/>
        </w:rPr>
        <w:t xml:space="preserve">Decameron </w:t>
      </w:r>
      <w:r w:rsidR="00FC3E30">
        <w:rPr>
          <w:rFonts w:cstheme="minorHAnsi"/>
          <w:sz w:val="24"/>
          <w:szCs w:val="24"/>
        </w:rPr>
        <w:t>(II, 6, 30; II, 8, 27).</w:t>
      </w:r>
    </w:p>
    <w:p w:rsidR="00367798" w:rsidRDefault="009F4C40" w:rsidP="004D5A65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Nell’arte narrativa</w:t>
      </w:r>
      <w:r>
        <w:rPr>
          <w:rFonts w:cstheme="minorHAnsi"/>
          <w:sz w:val="24"/>
          <w:szCs w:val="24"/>
        </w:rPr>
        <w:t xml:space="preserve">…, cit., pp. 194-204 e pp. </w:t>
      </w:r>
      <w:r w:rsidR="00283C4E">
        <w:rPr>
          <w:rFonts w:cstheme="minorHAnsi"/>
          <w:sz w:val="24"/>
          <w:szCs w:val="24"/>
        </w:rPr>
        <w:t>149-159: l</w:t>
      </w:r>
      <w:r>
        <w:rPr>
          <w:rFonts w:cstheme="minorHAnsi"/>
          <w:sz w:val="24"/>
          <w:szCs w:val="24"/>
        </w:rPr>
        <w:t>a novella di Ricciardo e di Catella, raccontata da Fiammetta (III, 6)</w:t>
      </w:r>
      <w:r w:rsidR="00283C4E">
        <w:rPr>
          <w:rFonts w:cstheme="minorHAnsi"/>
          <w:sz w:val="24"/>
          <w:szCs w:val="24"/>
        </w:rPr>
        <w:t>; l</w:t>
      </w:r>
      <w:r w:rsidR="00367798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metamorfosi dell’autore in personaggio: la novella di Andreuccio (II, 5).</w:t>
      </w:r>
    </w:p>
    <w:p w:rsidR="00283C4E" w:rsidRDefault="00283C4E" w:rsidP="004D5A65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</w:p>
    <w:p w:rsidR="009F4C40" w:rsidRDefault="009F4C40" w:rsidP="00283C4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F4C40">
        <w:rPr>
          <w:rFonts w:cstheme="minorHAnsi"/>
          <w:b/>
          <w:sz w:val="28"/>
          <w:szCs w:val="28"/>
        </w:rPr>
        <w:t>Interni domestici</w:t>
      </w:r>
    </w:p>
    <w:p w:rsidR="00283C4E" w:rsidRDefault="00283C4E" w:rsidP="00283C4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Tracciato della letteratura paterna e materna in Boccaccio narratore, a partire dal </w:t>
      </w:r>
      <w:proofErr w:type="spellStart"/>
      <w:r>
        <w:rPr>
          <w:rFonts w:cstheme="minorHAnsi"/>
          <w:i/>
          <w:sz w:val="24"/>
          <w:szCs w:val="24"/>
        </w:rPr>
        <w:t>Filocolo</w:t>
      </w:r>
      <w:proofErr w:type="spellEnd"/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Il padre tragico e la sua (quasi) alternativa: la novella di Tancredi e </w:t>
      </w:r>
      <w:proofErr w:type="spellStart"/>
      <w:r>
        <w:rPr>
          <w:rFonts w:cstheme="minorHAnsi"/>
          <w:sz w:val="24"/>
          <w:szCs w:val="24"/>
        </w:rPr>
        <w:t>Ghismonda</w:t>
      </w:r>
      <w:proofErr w:type="spellEnd"/>
      <w:r>
        <w:rPr>
          <w:rFonts w:cstheme="minorHAnsi"/>
          <w:sz w:val="24"/>
          <w:szCs w:val="24"/>
        </w:rPr>
        <w:t xml:space="preserve"> (IV, 1) e la novella dell’usignolo (V, 4): rimandi a </w:t>
      </w:r>
      <w:r>
        <w:rPr>
          <w:rFonts w:cstheme="minorHAnsi"/>
          <w:i/>
          <w:sz w:val="24"/>
          <w:szCs w:val="24"/>
        </w:rPr>
        <w:t>Nell’arte narrativa</w:t>
      </w:r>
      <w:r>
        <w:rPr>
          <w:rFonts w:cstheme="minorHAnsi"/>
          <w:sz w:val="24"/>
          <w:szCs w:val="24"/>
        </w:rPr>
        <w:t xml:space="preserve">…, cit., pp. 159-67 e a </w:t>
      </w:r>
      <w:r>
        <w:rPr>
          <w:rFonts w:cstheme="minorHAnsi"/>
          <w:smallCaps/>
          <w:sz w:val="24"/>
          <w:szCs w:val="24"/>
        </w:rPr>
        <w:t>Giuseppe Chiecchi,</w:t>
      </w:r>
      <w:r w:rsidRPr="00466A2E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Giovanni Boccaccio e il romanzo familiare</w:t>
      </w:r>
      <w:r>
        <w:rPr>
          <w:rFonts w:cstheme="minorHAnsi"/>
          <w:sz w:val="24"/>
          <w:szCs w:val="24"/>
        </w:rPr>
        <w:t xml:space="preserve"> (Venezia, Marsilio 1994).</w:t>
      </w:r>
    </w:p>
    <w:p w:rsidR="004E6DBB" w:rsidRDefault="007F5A25" w:rsidP="004E6DB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madre e l’agnizione: madonna </w:t>
      </w:r>
      <w:proofErr w:type="spellStart"/>
      <w:r>
        <w:rPr>
          <w:rFonts w:cstheme="minorHAnsi"/>
          <w:sz w:val="24"/>
          <w:szCs w:val="24"/>
        </w:rPr>
        <w:t>Beritola</w:t>
      </w:r>
      <w:proofErr w:type="spellEnd"/>
      <w:r>
        <w:rPr>
          <w:rFonts w:cstheme="minorHAnsi"/>
          <w:sz w:val="24"/>
          <w:szCs w:val="24"/>
        </w:rPr>
        <w:t xml:space="preserve">, ovvero ‘la </w:t>
      </w:r>
      <w:proofErr w:type="spellStart"/>
      <w:r>
        <w:rPr>
          <w:rFonts w:cstheme="minorHAnsi"/>
          <w:sz w:val="24"/>
          <w:szCs w:val="24"/>
        </w:rPr>
        <w:t>cavriuola</w:t>
      </w:r>
      <w:proofErr w:type="spellEnd"/>
      <w:r>
        <w:rPr>
          <w:rFonts w:cstheme="minorHAnsi"/>
          <w:sz w:val="24"/>
          <w:szCs w:val="24"/>
        </w:rPr>
        <w:t>’ (</w:t>
      </w:r>
      <w:proofErr w:type="spellStart"/>
      <w:r>
        <w:rPr>
          <w:rFonts w:cstheme="minorHAnsi"/>
          <w:i/>
          <w:sz w:val="24"/>
          <w:szCs w:val="24"/>
        </w:rPr>
        <w:t>Dec</w:t>
      </w:r>
      <w:proofErr w:type="spellEnd"/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>, II, 6); il riconoscimento del padre: Gualtieri, conte d’</w:t>
      </w:r>
      <w:proofErr w:type="spellStart"/>
      <w:r>
        <w:rPr>
          <w:rFonts w:cstheme="minorHAnsi"/>
          <w:sz w:val="24"/>
          <w:szCs w:val="24"/>
        </w:rPr>
        <w:t>Anguersa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i/>
          <w:sz w:val="24"/>
          <w:szCs w:val="24"/>
        </w:rPr>
        <w:t>Dec</w:t>
      </w:r>
      <w:proofErr w:type="spellEnd"/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, II, 8). Rimandi a: </w:t>
      </w:r>
      <w:r w:rsidRPr="00246DFE">
        <w:rPr>
          <w:rFonts w:cstheme="minorHAnsi"/>
          <w:i/>
          <w:sz w:val="24"/>
          <w:szCs w:val="24"/>
        </w:rPr>
        <w:t>Dante, Boccaccio, l’origine</w:t>
      </w:r>
      <w:r>
        <w:rPr>
          <w:rFonts w:cstheme="minorHAnsi"/>
          <w:sz w:val="24"/>
          <w:szCs w:val="24"/>
        </w:rPr>
        <w:t>, cit., pp.</w:t>
      </w:r>
      <w:r w:rsidR="006746FA">
        <w:rPr>
          <w:rFonts w:cstheme="minorHAnsi"/>
          <w:sz w:val="24"/>
          <w:szCs w:val="24"/>
        </w:rPr>
        <w:t xml:space="preserve"> 161-78.</w:t>
      </w:r>
    </w:p>
    <w:p w:rsidR="006746FA" w:rsidRDefault="006746FA" w:rsidP="004E6D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E6DBB" w:rsidRDefault="004E6DBB" w:rsidP="004E6DB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 novelle all’estremità</w:t>
      </w:r>
    </w:p>
    <w:p w:rsidR="004E6DBB" w:rsidRDefault="004E6DBB" w:rsidP="004E6D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Ciappelletto</w:t>
      </w:r>
      <w:proofErr w:type="spellEnd"/>
      <w:r w:rsidR="00FA55A1">
        <w:rPr>
          <w:rFonts w:cstheme="minorHAnsi"/>
          <w:sz w:val="24"/>
          <w:szCs w:val="24"/>
        </w:rPr>
        <w:t xml:space="preserve"> (</w:t>
      </w:r>
      <w:proofErr w:type="spellStart"/>
      <w:r w:rsidR="00FA55A1">
        <w:rPr>
          <w:rFonts w:cstheme="minorHAnsi"/>
          <w:i/>
          <w:sz w:val="24"/>
          <w:szCs w:val="24"/>
        </w:rPr>
        <w:t>Dec</w:t>
      </w:r>
      <w:proofErr w:type="spellEnd"/>
      <w:r w:rsidR="00FA55A1">
        <w:rPr>
          <w:rFonts w:cstheme="minorHAnsi"/>
          <w:i/>
          <w:sz w:val="24"/>
          <w:szCs w:val="24"/>
        </w:rPr>
        <w:t>.</w:t>
      </w:r>
      <w:r w:rsidR="00FA55A1">
        <w:rPr>
          <w:rFonts w:cstheme="minorHAnsi"/>
          <w:sz w:val="24"/>
          <w:szCs w:val="24"/>
        </w:rPr>
        <w:t>, I</w:t>
      </w:r>
      <w:r>
        <w:rPr>
          <w:rFonts w:cstheme="minorHAnsi"/>
          <w:sz w:val="24"/>
          <w:szCs w:val="24"/>
        </w:rPr>
        <w:t>,</w:t>
      </w:r>
      <w:r w:rsidR="00FA55A1">
        <w:rPr>
          <w:rFonts w:cstheme="minorHAnsi"/>
          <w:sz w:val="24"/>
          <w:szCs w:val="24"/>
        </w:rPr>
        <w:t xml:space="preserve"> 1) –</w:t>
      </w:r>
      <w:r>
        <w:rPr>
          <w:rFonts w:cstheme="minorHAnsi"/>
          <w:sz w:val="24"/>
          <w:szCs w:val="24"/>
        </w:rPr>
        <w:t xml:space="preserve"> Griselda</w:t>
      </w:r>
      <w:r w:rsidR="00FA55A1">
        <w:rPr>
          <w:rFonts w:cstheme="minorHAnsi"/>
          <w:sz w:val="24"/>
          <w:szCs w:val="24"/>
        </w:rPr>
        <w:t xml:space="preserve"> (</w:t>
      </w:r>
      <w:proofErr w:type="spellStart"/>
      <w:r w:rsidR="00FA55A1">
        <w:rPr>
          <w:rFonts w:cstheme="minorHAnsi"/>
          <w:i/>
          <w:sz w:val="24"/>
          <w:szCs w:val="24"/>
        </w:rPr>
        <w:t>Dec</w:t>
      </w:r>
      <w:proofErr w:type="spellEnd"/>
      <w:r w:rsidR="00FA55A1">
        <w:rPr>
          <w:rFonts w:cstheme="minorHAnsi"/>
          <w:sz w:val="24"/>
          <w:szCs w:val="24"/>
        </w:rPr>
        <w:t xml:space="preserve">., X, 10):  </w:t>
      </w:r>
      <w:r>
        <w:rPr>
          <w:rFonts w:cstheme="minorHAnsi"/>
          <w:sz w:val="24"/>
          <w:szCs w:val="24"/>
        </w:rPr>
        <w:t>chiasm</w:t>
      </w:r>
      <w:r w:rsidR="00FA55A1">
        <w:rPr>
          <w:rFonts w:cstheme="minorHAnsi"/>
          <w:sz w:val="24"/>
          <w:szCs w:val="24"/>
        </w:rPr>
        <w:t>o narrativo ed estremismo dispositivo.</w:t>
      </w:r>
      <w:r w:rsidR="00246DFE">
        <w:rPr>
          <w:rFonts w:cstheme="minorHAnsi"/>
          <w:sz w:val="24"/>
          <w:szCs w:val="24"/>
        </w:rPr>
        <w:t xml:space="preserve"> Precedenti più o meno generici</w:t>
      </w:r>
      <w:r w:rsidR="00AE71DE">
        <w:rPr>
          <w:rFonts w:cstheme="minorHAnsi"/>
          <w:sz w:val="24"/>
          <w:szCs w:val="24"/>
        </w:rPr>
        <w:t>. Petrarca e la versione latina della Griselda.</w:t>
      </w:r>
    </w:p>
    <w:p w:rsidR="0091653A" w:rsidRDefault="0091653A" w:rsidP="004E6D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1653A" w:rsidRDefault="0091653A" w:rsidP="004E6DB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Autoreferenzialità narrativa e </w:t>
      </w:r>
      <w:proofErr w:type="spellStart"/>
      <w:r>
        <w:rPr>
          <w:rFonts w:cstheme="minorHAnsi"/>
          <w:b/>
          <w:sz w:val="28"/>
          <w:szCs w:val="28"/>
        </w:rPr>
        <w:t>metaracconto</w:t>
      </w:r>
      <w:proofErr w:type="spellEnd"/>
    </w:p>
    <w:p w:rsidR="0091653A" w:rsidRDefault="0091653A" w:rsidP="004E6D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4"/>
          <w:szCs w:val="24"/>
        </w:rPr>
        <w:t>La novella di madonna Oretta</w:t>
      </w:r>
      <w:r w:rsidR="00386988">
        <w:rPr>
          <w:rFonts w:cstheme="minorHAnsi"/>
          <w:sz w:val="24"/>
          <w:szCs w:val="24"/>
        </w:rPr>
        <w:t xml:space="preserve"> (VI, 1</w:t>
      </w:r>
      <w:r>
        <w:rPr>
          <w:rFonts w:cstheme="minorHAnsi"/>
          <w:sz w:val="24"/>
          <w:szCs w:val="24"/>
        </w:rPr>
        <w:t>)</w:t>
      </w:r>
      <w:r w:rsidR="00F352A3">
        <w:rPr>
          <w:rFonts w:cstheme="minorHAnsi"/>
          <w:sz w:val="24"/>
          <w:szCs w:val="24"/>
        </w:rPr>
        <w:t xml:space="preserve"> e suo prolungamento</w:t>
      </w:r>
      <w:r w:rsidR="00386988">
        <w:rPr>
          <w:rFonts w:cstheme="minorHAnsi"/>
          <w:sz w:val="24"/>
          <w:szCs w:val="24"/>
        </w:rPr>
        <w:t xml:space="preserve"> in quella di Cisti (VI, 2)</w:t>
      </w:r>
      <w:r w:rsidR="00FE2D23">
        <w:rPr>
          <w:rFonts w:cstheme="minorHAnsi"/>
          <w:sz w:val="24"/>
          <w:szCs w:val="24"/>
        </w:rPr>
        <w:t>; sorvolo su tutte le novelle della VI Giornata e, infine, lettura della n</w:t>
      </w:r>
      <w:r w:rsidR="00D63997">
        <w:rPr>
          <w:rFonts w:cstheme="minorHAnsi"/>
          <w:sz w:val="24"/>
          <w:szCs w:val="24"/>
        </w:rPr>
        <w:t>ovella della parola, cioè di frate Cipolla (VI,10).</w:t>
      </w:r>
    </w:p>
    <w:p w:rsidR="00FE2D23" w:rsidRDefault="00FE2D23" w:rsidP="004E6D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La novella dei tre anelli (I, 3; e confronto con </w:t>
      </w:r>
      <w:r>
        <w:rPr>
          <w:rFonts w:cstheme="minorHAnsi"/>
          <w:i/>
          <w:sz w:val="24"/>
          <w:szCs w:val="24"/>
        </w:rPr>
        <w:t>Novellino</w:t>
      </w:r>
      <w:r>
        <w:rPr>
          <w:rFonts w:cstheme="minorHAnsi"/>
          <w:sz w:val="24"/>
          <w:szCs w:val="24"/>
        </w:rPr>
        <w:t xml:space="preserve">, LXXIII). La parola del silenzio: la novella ‘velica’ di </w:t>
      </w:r>
      <w:proofErr w:type="spellStart"/>
      <w:r>
        <w:rPr>
          <w:rFonts w:cstheme="minorHAnsi"/>
          <w:sz w:val="24"/>
          <w:szCs w:val="24"/>
        </w:rPr>
        <w:t>Alatiel</w:t>
      </w:r>
      <w:proofErr w:type="spellEnd"/>
      <w:r>
        <w:rPr>
          <w:rFonts w:cstheme="minorHAnsi"/>
          <w:sz w:val="24"/>
          <w:szCs w:val="24"/>
        </w:rPr>
        <w:t xml:space="preserve"> (II, 7) e l’handicap di </w:t>
      </w:r>
      <w:proofErr w:type="spellStart"/>
      <w:r>
        <w:rPr>
          <w:rFonts w:cstheme="minorHAnsi"/>
          <w:sz w:val="24"/>
          <w:szCs w:val="24"/>
        </w:rPr>
        <w:t>Masetto</w:t>
      </w:r>
      <w:proofErr w:type="spellEnd"/>
      <w:r>
        <w:rPr>
          <w:rFonts w:cstheme="minorHAnsi"/>
          <w:sz w:val="24"/>
          <w:szCs w:val="24"/>
        </w:rPr>
        <w:t xml:space="preserve"> (III, 1; confronto con </w:t>
      </w:r>
      <w:r>
        <w:rPr>
          <w:rFonts w:cstheme="minorHAnsi"/>
          <w:i/>
          <w:sz w:val="24"/>
          <w:szCs w:val="24"/>
        </w:rPr>
        <w:t>Novellino</w:t>
      </w:r>
      <w:r>
        <w:rPr>
          <w:rFonts w:cstheme="minorHAnsi"/>
          <w:sz w:val="24"/>
          <w:szCs w:val="24"/>
        </w:rPr>
        <w:t xml:space="preserve">, LXII). Cfr. </w:t>
      </w:r>
      <w:r>
        <w:rPr>
          <w:rFonts w:cstheme="minorHAnsi"/>
          <w:i/>
          <w:sz w:val="24"/>
          <w:szCs w:val="24"/>
        </w:rPr>
        <w:t>Nell’arte narrativa</w:t>
      </w:r>
      <w:r>
        <w:rPr>
          <w:rFonts w:cstheme="minorHAnsi"/>
          <w:sz w:val="24"/>
          <w:szCs w:val="24"/>
        </w:rPr>
        <w:t>…, cit., V, pp. 169-87.</w:t>
      </w:r>
    </w:p>
    <w:p w:rsidR="00EC7DC2" w:rsidRDefault="00EC7DC2" w:rsidP="004E6D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7DC2" w:rsidRDefault="00237596" w:rsidP="004E6DB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Intertestualità</w:t>
      </w:r>
      <w:r w:rsidR="00EC7DC2">
        <w:rPr>
          <w:rFonts w:cstheme="minorHAnsi"/>
          <w:b/>
          <w:sz w:val="28"/>
          <w:szCs w:val="28"/>
        </w:rPr>
        <w:t>: ripresa e parodia delle fonti</w:t>
      </w:r>
    </w:p>
    <w:p w:rsidR="008B2CF0" w:rsidRDefault="00EC7DC2" w:rsidP="00EC7DC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466A2E">
        <w:rPr>
          <w:rFonts w:cstheme="minorHAnsi"/>
          <w:smallCaps/>
          <w:sz w:val="24"/>
          <w:szCs w:val="24"/>
        </w:rPr>
        <w:t>Bausi</w:t>
      </w:r>
      <w:proofErr w:type="spellEnd"/>
      <w:r w:rsidRPr="00466A2E">
        <w:rPr>
          <w:rFonts w:cstheme="minorHAnsi"/>
          <w:smallCaps/>
          <w:sz w:val="24"/>
          <w:szCs w:val="24"/>
        </w:rPr>
        <w:t xml:space="preserve">, </w:t>
      </w:r>
      <w:r w:rsidRPr="00466A2E">
        <w:rPr>
          <w:rFonts w:cstheme="minorHAnsi"/>
          <w:i/>
          <w:sz w:val="24"/>
          <w:szCs w:val="24"/>
        </w:rPr>
        <w:t>Leggere il ‘Decameron’</w:t>
      </w:r>
      <w:r w:rsidRPr="00466A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cit., pp. 130-151; </w:t>
      </w:r>
      <w:r w:rsidRPr="00466A2E">
        <w:rPr>
          <w:rFonts w:cstheme="minorHAnsi"/>
          <w:smallCaps/>
          <w:sz w:val="24"/>
          <w:szCs w:val="24"/>
        </w:rPr>
        <w:t>B</w:t>
      </w:r>
      <w:r>
        <w:rPr>
          <w:rFonts w:cstheme="minorHAnsi"/>
          <w:smallCaps/>
          <w:sz w:val="24"/>
          <w:szCs w:val="24"/>
        </w:rPr>
        <w:t>ranca</w:t>
      </w:r>
      <w:r w:rsidRPr="00466A2E">
        <w:rPr>
          <w:rFonts w:cstheme="minorHAnsi"/>
          <w:smallCaps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 xml:space="preserve">Boccaccio </w:t>
      </w:r>
      <w:r w:rsidRPr="00EC7DC2">
        <w:rPr>
          <w:rFonts w:cstheme="minorHAnsi"/>
          <w:i/>
          <w:sz w:val="24"/>
          <w:szCs w:val="24"/>
        </w:rPr>
        <w:t>medievale</w:t>
      </w:r>
      <w:r>
        <w:rPr>
          <w:rFonts w:cstheme="minorHAnsi"/>
          <w:sz w:val="24"/>
          <w:szCs w:val="24"/>
        </w:rPr>
        <w:t xml:space="preserve">, cit., cap. VII, </w:t>
      </w:r>
      <w:r>
        <w:rPr>
          <w:rFonts w:cstheme="minorHAnsi"/>
          <w:i/>
          <w:sz w:val="24"/>
          <w:szCs w:val="24"/>
        </w:rPr>
        <w:t>Schemi letterari e schemi autobiografici</w:t>
      </w:r>
      <w:r w:rsidRPr="00466A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pp. 191-249.</w:t>
      </w:r>
    </w:p>
    <w:p w:rsidR="00237596" w:rsidRDefault="00EC7DC2" w:rsidP="00EC7DC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Pr="00EC7DC2">
        <w:rPr>
          <w:rFonts w:cstheme="minorHAnsi"/>
          <w:i/>
          <w:sz w:val="24"/>
          <w:szCs w:val="24"/>
        </w:rPr>
        <w:t>Novellino</w:t>
      </w:r>
      <w:r>
        <w:rPr>
          <w:rFonts w:cstheme="minorHAnsi"/>
          <w:sz w:val="24"/>
          <w:szCs w:val="24"/>
        </w:rPr>
        <w:t xml:space="preserve"> in quanto fonte e la quasi-novella di Filippo Balducci (IV, </w:t>
      </w:r>
      <w:r>
        <w:rPr>
          <w:rFonts w:cstheme="minorHAnsi"/>
          <w:i/>
          <w:sz w:val="24"/>
          <w:szCs w:val="24"/>
        </w:rPr>
        <w:t>Intr.</w:t>
      </w:r>
      <w:r>
        <w:rPr>
          <w:rFonts w:cstheme="minorHAnsi"/>
          <w:sz w:val="24"/>
          <w:szCs w:val="24"/>
        </w:rPr>
        <w:t xml:space="preserve">12 </w:t>
      </w:r>
      <w:proofErr w:type="spellStart"/>
      <w:r>
        <w:rPr>
          <w:rFonts w:cstheme="minorHAnsi"/>
          <w:sz w:val="24"/>
          <w:szCs w:val="24"/>
        </w:rPr>
        <w:t>sgg</w:t>
      </w:r>
      <w:proofErr w:type="spellEnd"/>
      <w:r>
        <w:rPr>
          <w:rFonts w:cstheme="minorHAnsi"/>
          <w:sz w:val="24"/>
          <w:szCs w:val="24"/>
        </w:rPr>
        <w:t xml:space="preserve">.) </w:t>
      </w:r>
      <w:r w:rsidRPr="00EC7DC2">
        <w:rPr>
          <w:rFonts w:cstheme="minorHAnsi"/>
          <w:sz w:val="24"/>
          <w:szCs w:val="24"/>
        </w:rPr>
        <w:sym w:font="Wingdings" w:char="F0DF"/>
      </w:r>
      <w:r>
        <w:rPr>
          <w:rFonts w:cstheme="minorHAnsi"/>
          <w:sz w:val="24"/>
          <w:szCs w:val="24"/>
        </w:rPr>
        <w:t xml:space="preserve"> </w:t>
      </w:r>
      <w:r w:rsidRPr="00EC7DC2">
        <w:rPr>
          <w:rFonts w:cstheme="minorHAnsi"/>
          <w:i/>
          <w:sz w:val="24"/>
          <w:szCs w:val="24"/>
        </w:rPr>
        <w:t>Novellino</w:t>
      </w:r>
      <w:r>
        <w:rPr>
          <w:rFonts w:cstheme="minorHAnsi"/>
          <w:sz w:val="24"/>
          <w:szCs w:val="24"/>
        </w:rPr>
        <w:t xml:space="preserve">, XIV. La presenza di Dante; </w:t>
      </w:r>
      <w:proofErr w:type="spellStart"/>
      <w:r>
        <w:rPr>
          <w:rFonts w:cstheme="minorHAnsi"/>
          <w:sz w:val="24"/>
          <w:szCs w:val="24"/>
        </w:rPr>
        <w:t>exempla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fabliaux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lais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6F4B22" w:rsidRDefault="00EC7DC2" w:rsidP="006F4B2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Forme</w:t>
      </w:r>
      <w:r w:rsidR="00237596">
        <w:rPr>
          <w:rFonts w:cstheme="minorHAnsi"/>
          <w:sz w:val="24"/>
          <w:szCs w:val="24"/>
        </w:rPr>
        <w:t xml:space="preserve"> e contenuti </w:t>
      </w:r>
      <w:r>
        <w:rPr>
          <w:rFonts w:cstheme="minorHAnsi"/>
          <w:sz w:val="24"/>
          <w:szCs w:val="24"/>
        </w:rPr>
        <w:t>della</w:t>
      </w:r>
      <w:r w:rsidR="00237596">
        <w:rPr>
          <w:rFonts w:cstheme="minorHAnsi"/>
          <w:sz w:val="24"/>
          <w:szCs w:val="24"/>
        </w:rPr>
        <w:t xml:space="preserve"> parodia: lo Stilnovo; le cose e i personaggi ‘di chiesa’; le visioni; i testi agiografici: lettura delle novelle di</w:t>
      </w:r>
      <w:r w:rsidR="006F4B22">
        <w:rPr>
          <w:rFonts w:cstheme="minorHAnsi"/>
          <w:sz w:val="24"/>
          <w:szCs w:val="24"/>
        </w:rPr>
        <w:t xml:space="preserve"> </w:t>
      </w:r>
      <w:proofErr w:type="spellStart"/>
      <w:r w:rsidR="006F4B22">
        <w:rPr>
          <w:rFonts w:cstheme="minorHAnsi"/>
          <w:sz w:val="24"/>
          <w:szCs w:val="24"/>
        </w:rPr>
        <w:t>Alibech</w:t>
      </w:r>
      <w:proofErr w:type="spellEnd"/>
      <w:r w:rsidR="006F4B22">
        <w:rPr>
          <w:rFonts w:cstheme="minorHAnsi"/>
          <w:sz w:val="24"/>
          <w:szCs w:val="24"/>
        </w:rPr>
        <w:t xml:space="preserve"> (III, 10); di</w:t>
      </w:r>
      <w:r w:rsidR="00237596">
        <w:rPr>
          <w:rFonts w:cstheme="minorHAnsi"/>
          <w:sz w:val="24"/>
          <w:szCs w:val="24"/>
        </w:rPr>
        <w:t xml:space="preserve"> frate Alberto (IV, 2); di </w:t>
      </w:r>
      <w:proofErr w:type="spellStart"/>
      <w:r w:rsidR="00237596">
        <w:rPr>
          <w:rFonts w:cstheme="minorHAnsi"/>
          <w:sz w:val="24"/>
          <w:szCs w:val="24"/>
        </w:rPr>
        <w:t>Nastagio</w:t>
      </w:r>
      <w:proofErr w:type="spellEnd"/>
      <w:r w:rsidR="00237596">
        <w:rPr>
          <w:rFonts w:cstheme="minorHAnsi"/>
          <w:sz w:val="24"/>
          <w:szCs w:val="24"/>
        </w:rPr>
        <w:t xml:space="preserve"> (V, 8);</w:t>
      </w:r>
      <w:r w:rsidR="006F4B22">
        <w:rPr>
          <w:rFonts w:cstheme="minorHAnsi"/>
          <w:sz w:val="24"/>
          <w:szCs w:val="24"/>
        </w:rPr>
        <w:t xml:space="preserve"> di Pietro di </w:t>
      </w:r>
      <w:proofErr w:type="spellStart"/>
      <w:r w:rsidR="006F4B22">
        <w:rPr>
          <w:rFonts w:cstheme="minorHAnsi"/>
          <w:sz w:val="24"/>
          <w:szCs w:val="24"/>
        </w:rPr>
        <w:t>Vinciolo</w:t>
      </w:r>
      <w:proofErr w:type="spellEnd"/>
      <w:r w:rsidR="006F4B22">
        <w:rPr>
          <w:rFonts w:cstheme="minorHAnsi"/>
          <w:sz w:val="24"/>
          <w:szCs w:val="24"/>
        </w:rPr>
        <w:t xml:space="preserve"> (V, 10).</w:t>
      </w:r>
    </w:p>
    <w:p w:rsidR="006F4B22" w:rsidRPr="006F4B22" w:rsidRDefault="006F4B22" w:rsidP="006F4B2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86FC7" w:rsidRDefault="006F4B22" w:rsidP="006F4B2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4B22">
        <w:rPr>
          <w:rFonts w:cstheme="minorHAnsi"/>
          <w:b/>
          <w:sz w:val="28"/>
          <w:szCs w:val="28"/>
        </w:rPr>
        <w:t>Società composita e diritto di accesso alla rappresentazione</w:t>
      </w:r>
    </w:p>
    <w:p w:rsidR="006F4B22" w:rsidRDefault="006F4B22" w:rsidP="006F4B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Società feudale: la novella di Rossiglione e </w:t>
      </w:r>
      <w:proofErr w:type="spellStart"/>
      <w:r>
        <w:rPr>
          <w:rFonts w:cstheme="minorHAnsi"/>
          <w:sz w:val="24"/>
          <w:szCs w:val="24"/>
        </w:rPr>
        <w:t>Guardastagno</w:t>
      </w:r>
      <w:proofErr w:type="spellEnd"/>
      <w:r>
        <w:rPr>
          <w:rFonts w:cstheme="minorHAnsi"/>
          <w:sz w:val="24"/>
          <w:szCs w:val="24"/>
        </w:rPr>
        <w:t xml:space="preserve"> (IV, 9) - </w:t>
      </w:r>
      <w:r>
        <w:rPr>
          <w:rFonts w:cstheme="minorHAnsi"/>
          <w:sz w:val="24"/>
          <w:szCs w:val="24"/>
        </w:rPr>
        <w:tab/>
        <w:t xml:space="preserve">Società mercantile: gli incipit delle novelle di </w:t>
      </w:r>
      <w:proofErr w:type="spellStart"/>
      <w:r>
        <w:rPr>
          <w:rFonts w:cstheme="minorHAnsi"/>
          <w:sz w:val="24"/>
          <w:szCs w:val="24"/>
        </w:rPr>
        <w:t>Ambrogiuolo</w:t>
      </w:r>
      <w:proofErr w:type="spellEnd"/>
      <w:r>
        <w:rPr>
          <w:rFonts w:cstheme="minorHAnsi"/>
          <w:sz w:val="24"/>
          <w:szCs w:val="24"/>
        </w:rPr>
        <w:t xml:space="preserve"> (II, 9) e di </w:t>
      </w:r>
      <w:proofErr w:type="spellStart"/>
      <w:r>
        <w:rPr>
          <w:rFonts w:cstheme="minorHAnsi"/>
          <w:sz w:val="24"/>
          <w:szCs w:val="24"/>
        </w:rPr>
        <w:t>Salabaetto</w:t>
      </w:r>
      <w:proofErr w:type="spellEnd"/>
      <w:r>
        <w:rPr>
          <w:rFonts w:cstheme="minorHAnsi"/>
          <w:sz w:val="24"/>
          <w:szCs w:val="24"/>
        </w:rPr>
        <w:t xml:space="preserve"> (VIII, 10). Il confronto (Torello e il Saladino, X, 9)</w:t>
      </w:r>
    </w:p>
    <w:p w:rsidR="006F4B22" w:rsidRDefault="006F4B22" w:rsidP="006F4B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Società popolare: il prete di Varlungo (VIII, 2);  Calandrino (VIII, 3; 6; IX, 3; 5); la Introduzione alla VI Giornata.</w:t>
      </w:r>
    </w:p>
    <w:p w:rsidR="006F4B22" w:rsidRDefault="006F4B22" w:rsidP="006F4B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F4B22" w:rsidRDefault="006F4B22" w:rsidP="006F4B22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 ‘vita felice’</w:t>
      </w:r>
    </w:p>
    <w:p w:rsidR="00861AFA" w:rsidRDefault="00861AFA" w:rsidP="006F4B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861AFA">
        <w:rPr>
          <w:rFonts w:cstheme="minorHAnsi"/>
          <w:sz w:val="24"/>
          <w:szCs w:val="24"/>
        </w:rPr>
        <w:t>La cittadinanza fiorentina di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Maestro Simone, bolognese</w:t>
      </w:r>
      <w:r w:rsidRPr="00861AFA">
        <w:rPr>
          <w:rFonts w:cstheme="minorHAnsi"/>
          <w:sz w:val="24"/>
          <w:szCs w:val="24"/>
        </w:rPr>
        <w:t xml:space="preserve"> (VIII, 9)</w:t>
      </w:r>
      <w:r>
        <w:rPr>
          <w:rFonts w:cstheme="minorHAnsi"/>
          <w:sz w:val="24"/>
          <w:szCs w:val="24"/>
        </w:rPr>
        <w:t xml:space="preserve">. Cfr. </w:t>
      </w:r>
      <w:r>
        <w:rPr>
          <w:rFonts w:cstheme="minorHAnsi"/>
          <w:smallCaps/>
          <w:sz w:val="24"/>
          <w:szCs w:val="24"/>
        </w:rPr>
        <w:t>Chiecchi,</w:t>
      </w:r>
      <w:r w:rsidRPr="00466A2E">
        <w:rPr>
          <w:rFonts w:cstheme="minorHAnsi"/>
          <w:i/>
          <w:sz w:val="24"/>
          <w:szCs w:val="24"/>
        </w:rPr>
        <w:t xml:space="preserve"> Nell’arte narrativa</w:t>
      </w:r>
      <w:r>
        <w:rPr>
          <w:rFonts w:cstheme="minorHAnsi"/>
          <w:sz w:val="24"/>
          <w:szCs w:val="24"/>
        </w:rPr>
        <w:t>, cit., VII, pp. 205-21; e cenni all’epistola napoletana , pp. 10-16.</w:t>
      </w:r>
    </w:p>
    <w:p w:rsidR="00861AFA" w:rsidRDefault="00861AFA" w:rsidP="006F4B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1AFA" w:rsidRDefault="00861AFA" w:rsidP="006F4B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61AFA" w:rsidRDefault="00861AFA" w:rsidP="00861AFA">
      <w:pPr>
        <w:spacing w:after="0" w:line="240" w:lineRule="auto"/>
        <w:ind w:left="6372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Giuseppe Chiecchi</w:t>
      </w:r>
    </w:p>
    <w:p w:rsidR="004E6DBB" w:rsidRPr="007F5A25" w:rsidRDefault="00861AFA" w:rsidP="004E6D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Verona, novembre 2017</w:t>
      </w:r>
      <w:bookmarkStart w:id="0" w:name="_GoBack"/>
      <w:bookmarkEnd w:id="0"/>
    </w:p>
    <w:p w:rsidR="009F4C40" w:rsidRPr="00FC3E30" w:rsidRDefault="009F4C40" w:rsidP="004D5A65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</w:p>
    <w:sectPr w:rsidR="009F4C40" w:rsidRPr="00FC3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67CFE"/>
    <w:multiLevelType w:val="hybridMultilevel"/>
    <w:tmpl w:val="127C825C"/>
    <w:lvl w:ilvl="0" w:tplc="74124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21"/>
    <w:rsid w:val="00070C3E"/>
    <w:rsid w:val="001F7A33"/>
    <w:rsid w:val="00237596"/>
    <w:rsid w:val="00246DFE"/>
    <w:rsid w:val="0028295E"/>
    <w:rsid w:val="00283C4E"/>
    <w:rsid w:val="002A04CF"/>
    <w:rsid w:val="002C3A37"/>
    <w:rsid w:val="00367798"/>
    <w:rsid w:val="00386988"/>
    <w:rsid w:val="00386FC7"/>
    <w:rsid w:val="003A6A96"/>
    <w:rsid w:val="00443D98"/>
    <w:rsid w:val="00466A2E"/>
    <w:rsid w:val="004D5A65"/>
    <w:rsid w:val="004E6DBB"/>
    <w:rsid w:val="00542F21"/>
    <w:rsid w:val="005E2108"/>
    <w:rsid w:val="006746FA"/>
    <w:rsid w:val="006D23C7"/>
    <w:rsid w:val="006F4B22"/>
    <w:rsid w:val="0078231A"/>
    <w:rsid w:val="007F5A25"/>
    <w:rsid w:val="008248B7"/>
    <w:rsid w:val="00861AFA"/>
    <w:rsid w:val="008B2CF0"/>
    <w:rsid w:val="00900620"/>
    <w:rsid w:val="0091653A"/>
    <w:rsid w:val="009F4C40"/>
    <w:rsid w:val="00AE71DE"/>
    <w:rsid w:val="00BB3795"/>
    <w:rsid w:val="00C82B84"/>
    <w:rsid w:val="00CB0BA3"/>
    <w:rsid w:val="00D031EC"/>
    <w:rsid w:val="00D03484"/>
    <w:rsid w:val="00D63997"/>
    <w:rsid w:val="00E02723"/>
    <w:rsid w:val="00EC7DC2"/>
    <w:rsid w:val="00F352A3"/>
    <w:rsid w:val="00F65535"/>
    <w:rsid w:val="00FA55A1"/>
    <w:rsid w:val="00FC3E30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E8D1"/>
  <w15:docId w15:val="{90B00018-EE1E-459F-81B2-55353E27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73E4-1F70-43FB-B623-2931106B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Chiecchi Giuseppe</cp:lastModifiedBy>
  <cp:revision>18</cp:revision>
  <cp:lastPrinted>2017-10-16T10:11:00Z</cp:lastPrinted>
  <dcterms:created xsi:type="dcterms:W3CDTF">2017-09-23T08:52:00Z</dcterms:created>
  <dcterms:modified xsi:type="dcterms:W3CDTF">2017-10-31T17:59:00Z</dcterms:modified>
</cp:coreProperties>
</file>