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6D" w:rsidRDefault="005B7D6D" w:rsidP="005B7D6D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STORIA DELLA CRITICA D’ARTE</w:t>
      </w:r>
    </w:p>
    <w:p w:rsidR="005B7D6D" w:rsidRDefault="005B7D6D" w:rsidP="00CC2C43">
      <w:pPr>
        <w:pStyle w:val="Paragrafoelenco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a. 2016-2017</w:t>
      </w:r>
    </w:p>
    <w:p w:rsidR="005B7D6D" w:rsidRPr="005B7D6D" w:rsidRDefault="005B7D6D" w:rsidP="005B7D6D">
      <w:pPr>
        <w:pStyle w:val="Paragrafoelenco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Prof. Alessandra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Galizzi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Kroegel</w:t>
      </w:r>
      <w:proofErr w:type="spellEnd"/>
    </w:p>
    <w:p w:rsidR="00F4435D" w:rsidRDefault="00F4435D" w:rsidP="005B7D6D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5B7D6D">
        <w:rPr>
          <w:rFonts w:ascii="Times New Roman" w:hAnsi="Times New Roman" w:cs="Times New Roman"/>
          <w:b/>
          <w:color w:val="333333"/>
          <w:sz w:val="32"/>
          <w:szCs w:val="32"/>
        </w:rPr>
        <w:t>Il genere delle biografie di artisti da Vasari a Malvasia: testi e contesti</w:t>
      </w:r>
    </w:p>
    <w:p w:rsidR="000222A6" w:rsidRDefault="000222A6" w:rsidP="00535EAB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PROGRAMMA DEL CORSO CON BIBLIOGRAFIA</w:t>
      </w:r>
    </w:p>
    <w:p w:rsidR="00535EAB" w:rsidRDefault="00535EAB" w:rsidP="00535EAB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da considerare unitamente alle 10 presentazioni </w:t>
      </w:r>
      <w:proofErr w:type="spellStart"/>
      <w:r>
        <w:rPr>
          <w:rFonts w:ascii="Times New Roman" w:hAnsi="Times New Roman" w:cs="Times New Roman"/>
          <w:b/>
          <w:color w:val="333333"/>
          <w:sz w:val="32"/>
          <w:szCs w:val="32"/>
        </w:rPr>
        <w:t>power-point</w:t>
      </w:r>
      <w:proofErr w:type="spellEnd"/>
    </w:p>
    <w:p w:rsidR="00CC2C43" w:rsidRDefault="00CC2C43" w:rsidP="00CC2C43">
      <w:pPr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F4435D" w:rsidRPr="005B7D6D" w:rsidRDefault="00CC2C4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C2C43">
        <w:rPr>
          <w:rFonts w:ascii="Times New Roman" w:hAnsi="Times New Roman" w:cs="Times New Roman"/>
          <w:b/>
          <w:color w:val="333333"/>
          <w:sz w:val="32"/>
          <w:szCs w:val="32"/>
          <w:highlight w:val="yellow"/>
        </w:rPr>
        <w:t>Argomenti trattati lezione per lezione:</w:t>
      </w:r>
    </w:p>
    <w:p w:rsidR="007D51B1" w:rsidRDefault="00F4435D" w:rsidP="00804AA1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B7D6D">
        <w:rPr>
          <w:rFonts w:ascii="Times New Roman" w:hAnsi="Times New Roman" w:cs="Times New Roman"/>
          <w:b/>
          <w:color w:val="333333"/>
          <w:sz w:val="24"/>
          <w:szCs w:val="24"/>
        </w:rPr>
        <w:t>19/10/2016</w:t>
      </w:r>
    </w:p>
    <w:p w:rsidR="00804AA1" w:rsidRPr="005B7D6D" w:rsidRDefault="00804AA1" w:rsidP="00804AA1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4435D" w:rsidRPr="00F443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435D" w:rsidRPr="00F4435D" w:rsidRDefault="00F4435D" w:rsidP="00804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F44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Introduzione al corso, alle sue modalità di svolgimen</w:t>
            </w:r>
            <w:r w:rsidR="00F4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t</w:t>
            </w:r>
            <w:r w:rsidRPr="00F44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o e agli argomenti scelti. Attualit</w:t>
            </w:r>
            <w:r w:rsidR="00F4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à di Vasari e importanza della </w:t>
            </w:r>
            <w:proofErr w:type="spellStart"/>
            <w:r w:rsidRPr="00F4435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it-IT"/>
              </w:rPr>
              <w:t>Felsina</w:t>
            </w:r>
            <w:proofErr w:type="spellEnd"/>
            <w:r w:rsidRPr="00F4435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it-IT"/>
              </w:rPr>
              <w:t xml:space="preserve"> Pittrice</w:t>
            </w:r>
            <w:r w:rsidRPr="00F44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del Malvasia in quanto testo rappresentativo di più tendenze della letteratura artistica del XVII secolo. Le edizioni critiche più importanti </w:t>
            </w:r>
            <w:r w:rsidR="00F4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e/o più recenti sia delle </w:t>
            </w:r>
            <w:r w:rsidR="00F45071" w:rsidRPr="00F4507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it-IT"/>
              </w:rPr>
              <w:t>Vite</w:t>
            </w:r>
            <w:r w:rsidR="00F4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F4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vasariane</w:t>
            </w:r>
            <w:proofErr w:type="spellEnd"/>
            <w:r w:rsidR="00F4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sia della </w:t>
            </w:r>
            <w:proofErr w:type="spellStart"/>
            <w:r w:rsidRPr="00F4435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it-IT"/>
              </w:rPr>
              <w:t>Felsina</w:t>
            </w:r>
            <w:proofErr w:type="spellEnd"/>
            <w:r w:rsidRPr="00F4435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it-IT"/>
              </w:rPr>
              <w:t xml:space="preserve"> Pittrice</w:t>
            </w:r>
            <w:r w:rsidRPr="00F44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.</w:t>
            </w:r>
          </w:p>
        </w:tc>
      </w:tr>
      <w:tr w:rsidR="00F4435D" w:rsidRPr="00F443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435D" w:rsidRPr="00F4435D" w:rsidRDefault="00F4435D" w:rsidP="00804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F4435D" w:rsidRPr="005B7D6D" w:rsidRDefault="00F4435D" w:rsidP="00804A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AA1" w:rsidRDefault="00804AA1" w:rsidP="00804AA1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4435D" w:rsidRPr="005B7D6D" w:rsidRDefault="00F4435D" w:rsidP="00804AA1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B7D6D">
        <w:rPr>
          <w:rFonts w:ascii="Times New Roman" w:hAnsi="Times New Roman" w:cs="Times New Roman"/>
          <w:b/>
          <w:color w:val="333333"/>
          <w:sz w:val="24"/>
          <w:szCs w:val="24"/>
        </w:rPr>
        <w:t>20/10/2016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4435D" w:rsidRPr="00F443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8"/>
            </w:tblGrid>
            <w:tr w:rsidR="001644A9" w:rsidRPr="001644A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44A9" w:rsidRPr="001644A9" w:rsidRDefault="00F45071" w:rsidP="00804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 xml:space="preserve">Le </w:t>
                  </w:r>
                  <w:r w:rsidRPr="00F45071">
                    <w:rPr>
                      <w:rFonts w:ascii="Times New Roman" w:eastAsia="Times New Roman" w:hAnsi="Times New Roman" w:cs="Times New Roman"/>
                      <w:i/>
                      <w:color w:val="333333"/>
                      <w:sz w:val="24"/>
                      <w:szCs w:val="24"/>
                      <w:lang w:eastAsia="it-IT"/>
                    </w:rPr>
                    <w:t>Vite</w:t>
                  </w:r>
                  <w:r w:rsidR="00F4435D" w:rsidRPr="00F4435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 xml:space="preserve"> del Vasari: carattere dell'opera, riassuntivo di molte tradizioni lettera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>rie e storico-artistiche</w:t>
                  </w:r>
                  <w:r w:rsidR="00F4435D" w:rsidRPr="00F4435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 xml:space="preserve">. Le due edizioni del 1550 e del 1568 a confronto. L'attuale dibattito sull'autografia di Vasari: solo un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>“</w:t>
                  </w:r>
                  <w:proofErr w:type="spellStart"/>
                  <w:r w:rsidR="00F4435D" w:rsidRPr="00F4435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>gostwrit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>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>”?</w:t>
                  </w:r>
                  <w:r w:rsidRPr="001644A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</w:tbl>
          <w:p w:rsidR="00A33AC8" w:rsidRPr="005B7D6D" w:rsidRDefault="00A33AC8" w:rsidP="00804AA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04AA1" w:rsidRDefault="00804AA1" w:rsidP="00804AA1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436CEC" w:rsidRPr="00F45071" w:rsidRDefault="00436CEC" w:rsidP="00804AA1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450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21/10/2016</w:t>
            </w:r>
          </w:p>
          <w:p w:rsidR="00A33AC8" w:rsidRPr="00F4435D" w:rsidRDefault="00A33AC8" w:rsidP="00804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</w:tr>
      <w:tr w:rsidR="00F4435D" w:rsidRPr="00F443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435D" w:rsidRPr="00F4435D" w:rsidRDefault="00F4435D" w:rsidP="00804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</w:tr>
      <w:tr w:rsidR="00A33AC8" w:rsidRPr="00A33AC8" w:rsidTr="00A33A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3AC8" w:rsidRPr="005B7D6D" w:rsidRDefault="00A33AC8" w:rsidP="00804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A33A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Ancora sulle differenze </w:t>
            </w:r>
            <w:r w:rsidR="00F4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fra le due edizioni delle </w:t>
            </w:r>
            <w:r w:rsidR="00F45071" w:rsidRPr="00F4507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it-IT"/>
              </w:rPr>
              <w:t>Vite</w:t>
            </w:r>
            <w:r w:rsidRPr="00A33A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e, di conseguenza, sul problema dei collaboratori di Vasari. Il ruolo e il contributo di Paolo </w:t>
            </w:r>
            <w:proofErr w:type="spellStart"/>
            <w:r w:rsidRPr="00A33A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Giovio</w:t>
            </w:r>
            <w:proofErr w:type="spellEnd"/>
            <w:r w:rsidRPr="00A33A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(ed. 1550) e di Vincenzo Borghini (soprattutto ed. 1568). Lettura e commento di alcuni brani della Lettera dedicatoria a Cosimo I de' Medici (ed. 1550 e 1568), e della lettera "agli Artefici del Disegno", ovvero le conclusioni, dell'ed. 1</w:t>
            </w:r>
            <w:r w:rsidR="00F4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568. Inizio dell'analisi della “Vita”</w:t>
            </w:r>
            <w:r w:rsidRPr="00A33A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di Piero di Cosimo nelle due redazioni: confronto dei due diversi brani iniziali.</w:t>
            </w:r>
          </w:p>
          <w:p w:rsidR="003238E4" w:rsidRPr="005B7D6D" w:rsidRDefault="003238E4" w:rsidP="00804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  <w:p w:rsidR="003238E4" w:rsidRPr="005B7D6D" w:rsidRDefault="003238E4" w:rsidP="00804AA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238E4" w:rsidRPr="00F45071" w:rsidRDefault="003238E4" w:rsidP="00804AA1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450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25/10/2016</w:t>
            </w:r>
          </w:p>
          <w:p w:rsidR="003238E4" w:rsidRPr="005B7D6D" w:rsidRDefault="003238E4" w:rsidP="00804AA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238E4" w:rsidRPr="00A33AC8" w:rsidRDefault="003238E4" w:rsidP="00804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5B7D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</w:t>
            </w:r>
            <w:r w:rsidR="00F450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oseguimento dell'analisi della “Vita”</w:t>
            </w:r>
            <w:r w:rsidRPr="005B7D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di Piero di Cosimo nelle diverse redazioni del 1550 e 1568. Lettura e commento del tes</w:t>
            </w:r>
            <w:r w:rsidR="00F450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to sino alla descrizione della </w:t>
            </w:r>
            <w:r w:rsidRPr="00F45071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Liberazione di Andromeda</w:t>
            </w:r>
            <w:r w:rsidRPr="005B7D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(1510-15, Firenze, Uffizi), dipinto per Filippo Strozzi il Vecchio.</w:t>
            </w:r>
          </w:p>
        </w:tc>
      </w:tr>
      <w:tr w:rsidR="00A33AC8" w:rsidRPr="00A33AC8" w:rsidTr="00A33A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3AC8" w:rsidRPr="00A33AC8" w:rsidRDefault="00A33AC8" w:rsidP="00804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F4435D" w:rsidRPr="005B7D6D" w:rsidRDefault="00F4435D" w:rsidP="00804A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AA1" w:rsidRDefault="00804AA1" w:rsidP="00804AA1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85396" w:rsidRPr="00F45071" w:rsidRDefault="00127799" w:rsidP="00804AA1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45071">
        <w:rPr>
          <w:rFonts w:ascii="Times New Roman" w:hAnsi="Times New Roman" w:cs="Times New Roman"/>
          <w:b/>
          <w:color w:val="333333"/>
          <w:sz w:val="24"/>
          <w:szCs w:val="24"/>
        </w:rPr>
        <w:t>27/10/2016</w:t>
      </w:r>
    </w:p>
    <w:p w:rsidR="00804AA1" w:rsidRDefault="00804AA1" w:rsidP="00804AA1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127799" w:rsidRPr="005B7D6D" w:rsidRDefault="00127799" w:rsidP="00804AA1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5B7D6D">
        <w:rPr>
          <w:rFonts w:ascii="Times New Roman" w:hAnsi="Times New Roman" w:cs="Times New Roman"/>
          <w:color w:val="333333"/>
          <w:sz w:val="24"/>
          <w:szCs w:val="24"/>
        </w:rPr>
        <w:t xml:space="preserve">Conclusione dell'analisi della </w:t>
      </w:r>
      <w:r w:rsidR="00F45071">
        <w:rPr>
          <w:rFonts w:ascii="Times New Roman" w:hAnsi="Times New Roman" w:cs="Times New Roman"/>
          <w:color w:val="333333"/>
          <w:sz w:val="24"/>
          <w:szCs w:val="24"/>
        </w:rPr>
        <w:t>“</w:t>
      </w:r>
      <w:r w:rsidRPr="005B7D6D">
        <w:rPr>
          <w:rFonts w:ascii="Times New Roman" w:hAnsi="Times New Roman" w:cs="Times New Roman"/>
          <w:color w:val="333333"/>
          <w:sz w:val="24"/>
          <w:szCs w:val="24"/>
        </w:rPr>
        <w:t>Vita</w:t>
      </w:r>
      <w:r w:rsidR="00F45071">
        <w:rPr>
          <w:rFonts w:ascii="Times New Roman" w:hAnsi="Times New Roman" w:cs="Times New Roman"/>
          <w:color w:val="333333"/>
          <w:sz w:val="24"/>
          <w:szCs w:val="24"/>
        </w:rPr>
        <w:t>”</w:t>
      </w:r>
      <w:r w:rsidRPr="005B7D6D">
        <w:rPr>
          <w:rFonts w:ascii="Times New Roman" w:hAnsi="Times New Roman" w:cs="Times New Roman"/>
          <w:color w:val="333333"/>
          <w:sz w:val="24"/>
          <w:szCs w:val="24"/>
        </w:rPr>
        <w:t xml:space="preserve"> di Piero di Cosimo. Esame dell'origine dei concetti e dei termini "Medioevo" e "Rinascimento"</w:t>
      </w:r>
      <w:r w:rsidR="00F45071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5B7D6D">
        <w:rPr>
          <w:rFonts w:ascii="Times New Roman" w:hAnsi="Times New Roman" w:cs="Times New Roman"/>
          <w:color w:val="333333"/>
          <w:sz w:val="24"/>
          <w:szCs w:val="24"/>
        </w:rPr>
        <w:t xml:space="preserve"> Vasari e il Medioevo: la sua posizione rispetto al </w:t>
      </w:r>
      <w:proofErr w:type="spellStart"/>
      <w:r w:rsidRPr="005B7D6D">
        <w:rPr>
          <w:rFonts w:ascii="Times New Roman" w:hAnsi="Times New Roman" w:cs="Times New Roman"/>
          <w:color w:val="333333"/>
          <w:sz w:val="24"/>
          <w:szCs w:val="24"/>
        </w:rPr>
        <w:t>Ghiberti</w:t>
      </w:r>
      <w:proofErr w:type="spellEnd"/>
      <w:r w:rsidRPr="005B7D6D">
        <w:rPr>
          <w:rFonts w:ascii="Times New Roman" w:hAnsi="Times New Roman" w:cs="Times New Roman"/>
          <w:color w:val="333333"/>
          <w:sz w:val="24"/>
          <w:szCs w:val="24"/>
        </w:rPr>
        <w:t xml:space="preserve"> (il </w:t>
      </w:r>
      <w:r w:rsidRPr="005B7D6D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sintetico brano all'inizio del Commentario Secondo di quest'ultimo), articolata soprattutto nel </w:t>
      </w:r>
      <w:r w:rsidR="00F45071">
        <w:rPr>
          <w:rFonts w:ascii="Times New Roman" w:hAnsi="Times New Roman" w:cs="Times New Roman"/>
          <w:color w:val="333333"/>
          <w:sz w:val="24"/>
          <w:szCs w:val="24"/>
        </w:rPr>
        <w:t>“</w:t>
      </w:r>
      <w:r w:rsidRPr="005B7D6D">
        <w:rPr>
          <w:rFonts w:ascii="Times New Roman" w:hAnsi="Times New Roman" w:cs="Times New Roman"/>
          <w:color w:val="333333"/>
          <w:sz w:val="24"/>
          <w:szCs w:val="24"/>
        </w:rPr>
        <w:t>Proemio delle vite</w:t>
      </w:r>
      <w:r w:rsidR="00F45071">
        <w:rPr>
          <w:rFonts w:ascii="Times New Roman" w:hAnsi="Times New Roman" w:cs="Times New Roman"/>
          <w:color w:val="333333"/>
          <w:sz w:val="24"/>
          <w:szCs w:val="24"/>
        </w:rPr>
        <w:t>”</w:t>
      </w:r>
      <w:r w:rsidRPr="005B7D6D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="00F45071">
        <w:rPr>
          <w:rFonts w:ascii="Times New Roman" w:hAnsi="Times New Roman" w:cs="Times New Roman"/>
          <w:color w:val="333333"/>
          <w:sz w:val="24"/>
          <w:szCs w:val="24"/>
        </w:rPr>
        <w:t xml:space="preserve">cioè </w:t>
      </w:r>
      <w:r w:rsidRPr="005B7D6D">
        <w:rPr>
          <w:rFonts w:ascii="Times New Roman" w:hAnsi="Times New Roman" w:cs="Times New Roman"/>
          <w:color w:val="333333"/>
          <w:sz w:val="24"/>
          <w:szCs w:val="24"/>
        </w:rPr>
        <w:t>il secondo proemio di tutta l'opera). Lettura e commento dei brani più significativi di questo testo.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385396" w:rsidRPr="003853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5396" w:rsidRPr="005B7D6D" w:rsidRDefault="00385396" w:rsidP="00804AA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  <w:p w:rsidR="00F45071" w:rsidRDefault="00F45071" w:rsidP="00804AA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</w:p>
          <w:p w:rsidR="00385396" w:rsidRPr="00F45071" w:rsidRDefault="00385396" w:rsidP="00804AA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  <w:r w:rsidRPr="00F450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it-IT"/>
              </w:rPr>
              <w:t>28/10/2016</w:t>
            </w:r>
          </w:p>
          <w:p w:rsidR="00385396" w:rsidRPr="005B7D6D" w:rsidRDefault="00385396" w:rsidP="00804AA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  <w:p w:rsidR="00385396" w:rsidRPr="005B7D6D" w:rsidRDefault="00385396" w:rsidP="00804AA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385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Conclusione dell'analisi del </w:t>
            </w:r>
            <w:r w:rsidR="00F4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“</w:t>
            </w:r>
            <w:r w:rsidRPr="00385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Proemio delle Vite</w:t>
            </w:r>
            <w:r w:rsidR="00F4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”</w:t>
            </w:r>
            <w:r w:rsidRPr="00385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come testo principale per ricostruire la posizione di Vasari nei confronti dei secoli precedenti ai "primi lumi", emersi alla metà del XIII secolo in Toscana, a partire da Cimabue. La </w:t>
            </w:r>
            <w:r w:rsidR="00F4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“</w:t>
            </w:r>
            <w:r w:rsidRPr="00385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Vita</w:t>
            </w:r>
            <w:r w:rsidR="00F45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”</w:t>
            </w:r>
            <w:r w:rsidRPr="00385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85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vasariana</w:t>
            </w:r>
            <w:proofErr w:type="spellEnd"/>
            <w:r w:rsidRPr="00385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di Cimabue: lettura e commento dell'incipit. </w:t>
            </w:r>
          </w:p>
          <w:p w:rsidR="00BB77FE" w:rsidRPr="005B7D6D" w:rsidRDefault="00BB77FE" w:rsidP="00804AA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  <w:p w:rsidR="00F45071" w:rsidRDefault="00F45071" w:rsidP="00804AA1">
            <w:pPr>
              <w:spacing w:after="0" w:line="225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BB77FE" w:rsidRPr="00F45071" w:rsidRDefault="00BB77FE" w:rsidP="00804AA1">
            <w:pPr>
              <w:spacing w:after="0" w:line="225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450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02/11/2016</w:t>
            </w:r>
          </w:p>
          <w:p w:rsidR="00BB77FE" w:rsidRPr="005B7D6D" w:rsidRDefault="00BB77FE" w:rsidP="00804AA1">
            <w:pPr>
              <w:spacing w:after="0" w:line="225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8"/>
            </w:tblGrid>
            <w:tr w:rsidR="00BB77FE" w:rsidRPr="00BB77F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B77FE" w:rsidRPr="005B7D6D" w:rsidRDefault="00BB77FE" w:rsidP="00804AA1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</w:pPr>
                  <w:r w:rsidRPr="00BB77F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 xml:space="preserve">Conclusione dell'analisi della </w:t>
                  </w:r>
                  <w:r w:rsidR="00F4507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>“</w:t>
                  </w:r>
                  <w:r w:rsidRPr="00BB77F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>Vita</w:t>
                  </w:r>
                  <w:r w:rsidR="00F4507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>”</w:t>
                  </w:r>
                  <w:r w:rsidRPr="00BB77F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 xml:space="preserve"> di Cimabue: in particolare si è preso in esame il catalogo delle opere principali, inclusa l'errata attribuzione della Madonna Rucellai, ora </w:t>
                  </w:r>
                  <w:r w:rsidRPr="005B7D6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>unanimemente</w:t>
                  </w:r>
                  <w:r w:rsidRPr="00BB77F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 xml:space="preserve"> attribuita a Duccio da </w:t>
                  </w:r>
                  <w:proofErr w:type="spellStart"/>
                  <w:r w:rsidRPr="00BB77F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>Boninsegna</w:t>
                  </w:r>
                  <w:proofErr w:type="spellEnd"/>
                  <w:r w:rsidRPr="00BB77F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 xml:space="preserve">. Inizio dell'analisi della </w:t>
                  </w:r>
                  <w:r w:rsidR="00F4507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>“</w:t>
                  </w:r>
                  <w:r w:rsidRPr="00BB77F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>Vita</w:t>
                  </w:r>
                  <w:r w:rsidR="00F4507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>”</w:t>
                  </w:r>
                  <w:r w:rsidRPr="00BB77F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 xml:space="preserve"> di Giotto: la forte tradizione fiorentina di riferimento, il carattere prevalentemente letterario di questa biografia, ben visibile nell'episodio dell'incontro con Cimabue. Cenni alle opere principali </w:t>
                  </w:r>
                  <w:r w:rsidR="00F4507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 xml:space="preserve">di Giotto </w:t>
                  </w:r>
                  <w:r w:rsidRPr="00BB77F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  <w:t>fino all'attività ad Assisi.</w:t>
                  </w:r>
                </w:p>
                <w:p w:rsidR="00D2418B" w:rsidRPr="005B7D6D" w:rsidRDefault="00D2418B" w:rsidP="00804AA1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</w:pPr>
                </w:p>
                <w:p w:rsidR="00F45071" w:rsidRDefault="00F45071" w:rsidP="00804AA1">
                  <w:pPr>
                    <w:spacing w:after="0" w:line="225" w:lineRule="atLeast"/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</w:p>
                <w:p w:rsidR="00D2418B" w:rsidRPr="00F45071" w:rsidRDefault="00D2418B" w:rsidP="00804AA1">
                  <w:pPr>
                    <w:spacing w:after="0" w:line="225" w:lineRule="atLeast"/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 w:rsidRPr="00F45071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03/11/2016</w:t>
                  </w:r>
                </w:p>
                <w:p w:rsidR="00D2418B" w:rsidRPr="005B7D6D" w:rsidRDefault="00D2418B" w:rsidP="00804AA1">
                  <w:pPr>
                    <w:spacing w:after="0" w:line="225" w:lineRule="atLeast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8"/>
                  </w:tblGrid>
                  <w:tr w:rsidR="00D2418B" w:rsidRPr="00D2418B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2418B" w:rsidRPr="00D2418B" w:rsidRDefault="00D2418B" w:rsidP="00804AA1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</w:pPr>
                        <w:r w:rsidRPr="00D2418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Conclusione del discorso sulla </w:t>
                        </w:r>
                        <w:r w:rsidR="00F45071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“</w:t>
                        </w:r>
                        <w:r w:rsidRPr="00D2418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Vita</w:t>
                        </w:r>
                        <w:r w:rsidR="00F45071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”</w:t>
                        </w:r>
                        <w:r w:rsidRPr="00D2418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D2418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vasariana</w:t>
                        </w:r>
                        <w:proofErr w:type="spellEnd"/>
                        <w:r w:rsidRPr="00D2418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di Giotto come costruzione fortemente letteraria: esame dei </w:t>
                        </w:r>
                        <w:proofErr w:type="spellStart"/>
                        <w:r w:rsidRPr="00D2418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topoi</w:t>
                        </w:r>
                        <w:proofErr w:type="spellEnd"/>
                        <w:r w:rsidRPr="00D2418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pliniani. Lettur</w:t>
                        </w:r>
                        <w:r w:rsidR="00F45071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a e commento della dettagliata </w:t>
                        </w:r>
                        <w:proofErr w:type="spellStart"/>
                        <w:r w:rsidR="00F45071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é</w:t>
                        </w:r>
                        <w:r w:rsidRPr="00D2418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cfrasi</w:t>
                        </w:r>
                        <w:proofErr w:type="spellEnd"/>
                        <w:r w:rsidRPr="00D2418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del ciclo di affreschi con </w:t>
                        </w:r>
                        <w:r w:rsidRPr="00D2418B">
                          <w:rPr>
                            <w:rFonts w:ascii="Times New Roman" w:eastAsia="Times New Roman" w:hAnsi="Times New Roman" w:cs="Times New Roman"/>
                            <w:i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Storie della Beata </w:t>
                        </w:r>
                        <w:proofErr w:type="spellStart"/>
                        <w:r w:rsidRPr="00D2418B">
                          <w:rPr>
                            <w:rFonts w:ascii="Times New Roman" w:eastAsia="Times New Roman" w:hAnsi="Times New Roman" w:cs="Times New Roman"/>
                            <w:i/>
                            <w:color w:val="333333"/>
                            <w:sz w:val="24"/>
                            <w:szCs w:val="24"/>
                            <w:lang w:eastAsia="it-IT"/>
                          </w:rPr>
                          <w:t>Michelina</w:t>
                        </w:r>
                        <w:proofErr w:type="spellEnd"/>
                        <w:r w:rsidRPr="00D2418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in San Francesco a Rimini, esempio eclatante di un'errata attribuzione di Vasari. Vasari e Bologna: il soggiorno nel 1539-40; il ruolo di Bologna e degli artisti bolognesi all'interno delle </w:t>
                        </w:r>
                        <w:r w:rsidRPr="00D2418B">
                          <w:rPr>
                            <w:rFonts w:ascii="Times New Roman" w:eastAsia="Times New Roman" w:hAnsi="Times New Roman" w:cs="Times New Roman"/>
                            <w:i/>
                            <w:color w:val="333333"/>
                            <w:sz w:val="24"/>
                            <w:szCs w:val="24"/>
                            <w:lang w:eastAsia="it-IT"/>
                          </w:rPr>
                          <w:t>Vite</w:t>
                        </w:r>
                        <w:r w:rsidRPr="00D2418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. Attribuzioni errate e corrette di Vasari in San Petronio; il "mostro" partori</w:t>
                        </w:r>
                        <w:r w:rsidR="00F45071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t</w:t>
                        </w:r>
                        <w:r w:rsidRPr="00D2418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o da Vasari per la </w:t>
                        </w:r>
                        <w:r w:rsidR="00F45071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“</w:t>
                        </w:r>
                        <w:r w:rsidRPr="00D2418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Vita</w:t>
                        </w:r>
                        <w:r w:rsidR="00F45071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”</w:t>
                        </w:r>
                        <w:r w:rsidRPr="00D2418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di Lorenzo Costa ("Lorenzo </w:t>
                        </w:r>
                        <w:proofErr w:type="spellStart"/>
                        <w:r w:rsidRPr="00D2418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Cossa</w:t>
                        </w:r>
                        <w:proofErr w:type="spellEnd"/>
                        <w:r w:rsidRPr="00D2418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" nell'edizione del 1550), una fusione di Francesco del </w:t>
                        </w:r>
                        <w:proofErr w:type="spellStart"/>
                        <w:r w:rsidRPr="00D2418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Cossa</w:t>
                        </w:r>
                        <w:proofErr w:type="spellEnd"/>
                        <w:r w:rsidRPr="00D2418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e Lorenzo Costa.</w:t>
                        </w:r>
                      </w:p>
                    </w:tc>
                  </w:tr>
                  <w:tr w:rsidR="00D2418B" w:rsidRPr="00D2418B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2418B" w:rsidRPr="00D2418B" w:rsidRDefault="00D2418B" w:rsidP="00804AA1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578"/>
                        </w:tblGrid>
                        <w:tr w:rsidR="00D2418B" w:rsidRPr="00D2418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2418B" w:rsidRPr="00D2418B" w:rsidRDefault="00D2418B" w:rsidP="00804A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D2418B" w:rsidRPr="00D2418B" w:rsidRDefault="00D2418B" w:rsidP="00804AA1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F45071" w:rsidRDefault="00F45071" w:rsidP="00804AA1">
                  <w:pPr>
                    <w:spacing w:after="0" w:line="225" w:lineRule="atLeast"/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</w:p>
                <w:p w:rsidR="00D2418B" w:rsidRPr="00F45071" w:rsidRDefault="00014123" w:rsidP="00804AA1">
                  <w:pPr>
                    <w:spacing w:after="0" w:line="225" w:lineRule="atLeast"/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 w:rsidRPr="00F45071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04/11/2016</w:t>
                  </w:r>
                </w:p>
                <w:p w:rsidR="00014123" w:rsidRPr="005B7D6D" w:rsidRDefault="00014123" w:rsidP="00804AA1">
                  <w:pPr>
                    <w:spacing w:after="0" w:line="225" w:lineRule="atLeast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8"/>
                  </w:tblGrid>
                  <w:tr w:rsidR="00014123" w:rsidRPr="00014123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14123" w:rsidRPr="00014123" w:rsidRDefault="00014123" w:rsidP="00804AA1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</w:pPr>
                        <w:r w:rsidRPr="00014123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Introduzione alla </w:t>
                        </w:r>
                        <w:proofErr w:type="spellStart"/>
                        <w:r w:rsidRPr="00014123">
                          <w:rPr>
                            <w:rFonts w:ascii="Times New Roman" w:eastAsia="Times New Roman" w:hAnsi="Times New Roman" w:cs="Times New Roman"/>
                            <w:i/>
                            <w:color w:val="333333"/>
                            <w:sz w:val="24"/>
                            <w:szCs w:val="24"/>
                            <w:lang w:eastAsia="it-IT"/>
                          </w:rPr>
                          <w:t>Felsina</w:t>
                        </w:r>
                        <w:proofErr w:type="spellEnd"/>
                        <w:r w:rsidRPr="00014123">
                          <w:rPr>
                            <w:rFonts w:ascii="Times New Roman" w:eastAsia="Times New Roman" w:hAnsi="Times New Roman" w:cs="Times New Roman"/>
                            <w:i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Pittrice</w:t>
                        </w:r>
                        <w:r w:rsidRPr="00014123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e al suo autore Carlo Cesare Malvasia. Il contesto della letteratura artistica successiva alle </w:t>
                        </w:r>
                        <w:r w:rsidRPr="00014123">
                          <w:rPr>
                            <w:rFonts w:ascii="Times New Roman" w:eastAsia="Times New Roman" w:hAnsi="Times New Roman" w:cs="Times New Roman"/>
                            <w:i/>
                            <w:color w:val="333333"/>
                            <w:sz w:val="24"/>
                            <w:szCs w:val="24"/>
                            <w:lang w:eastAsia="it-IT"/>
                          </w:rPr>
                          <w:t>Vite</w:t>
                        </w:r>
                        <w:r w:rsidRPr="00014123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del Vasari: cenni a </w:t>
                        </w:r>
                        <w:proofErr w:type="spellStart"/>
                        <w:r w:rsidRPr="00014123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Lomazzo</w:t>
                        </w:r>
                        <w:proofErr w:type="spellEnd"/>
                        <w:r w:rsidRPr="00014123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, Borghini, </w:t>
                        </w:r>
                        <w:proofErr w:type="spellStart"/>
                        <w:r w:rsidRPr="00014123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Ridolfi</w:t>
                        </w:r>
                        <w:proofErr w:type="spellEnd"/>
                        <w:r w:rsidRPr="00014123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, Scannelli e </w:t>
                        </w:r>
                        <w:proofErr w:type="spellStart"/>
                        <w:r w:rsidRPr="00014123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Boschini</w:t>
                        </w:r>
                        <w:proofErr w:type="spellEnd"/>
                        <w:r w:rsidRPr="00014123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. Cenni biografici su Malvasia; il rapporto con </w:t>
                        </w:r>
                        <w:proofErr w:type="spellStart"/>
                        <w:r w:rsidRPr="00014123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Bellori</w:t>
                        </w:r>
                        <w:proofErr w:type="spellEnd"/>
                        <w:r w:rsidRPr="00014123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e le sue </w:t>
                        </w:r>
                        <w:r w:rsidRPr="00014123">
                          <w:rPr>
                            <w:rFonts w:ascii="Times New Roman" w:eastAsia="Times New Roman" w:hAnsi="Times New Roman" w:cs="Times New Roman"/>
                            <w:i/>
                            <w:color w:val="333333"/>
                            <w:sz w:val="24"/>
                            <w:szCs w:val="24"/>
                            <w:lang w:eastAsia="it-IT"/>
                          </w:rPr>
                          <w:t>Vite</w:t>
                        </w:r>
                        <w:r w:rsidRPr="00014123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; la dedica della </w:t>
                        </w:r>
                        <w:proofErr w:type="spellStart"/>
                        <w:r w:rsidRPr="00014123">
                          <w:rPr>
                            <w:rFonts w:ascii="Times New Roman" w:eastAsia="Times New Roman" w:hAnsi="Times New Roman" w:cs="Times New Roman"/>
                            <w:i/>
                            <w:color w:val="333333"/>
                            <w:sz w:val="24"/>
                            <w:szCs w:val="24"/>
                            <w:lang w:eastAsia="it-IT"/>
                          </w:rPr>
                          <w:t>Felsina</w:t>
                        </w:r>
                        <w:proofErr w:type="spellEnd"/>
                        <w:r w:rsidRPr="00014123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a</w:t>
                        </w:r>
                        <w:r w:rsidR="00F45071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l re di Francia</w:t>
                        </w:r>
                        <w:r w:rsidRPr="00014123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Luigi XIV. Caratteristiche strutturali e linguistiche della </w:t>
                        </w:r>
                        <w:proofErr w:type="spellStart"/>
                        <w:r w:rsidRPr="00014123">
                          <w:rPr>
                            <w:rFonts w:ascii="Times New Roman" w:eastAsia="Times New Roman" w:hAnsi="Times New Roman" w:cs="Times New Roman"/>
                            <w:i/>
                            <w:color w:val="333333"/>
                            <w:sz w:val="24"/>
                            <w:szCs w:val="24"/>
                            <w:lang w:eastAsia="it-IT"/>
                          </w:rPr>
                          <w:t>Felsina</w:t>
                        </w:r>
                        <w:proofErr w:type="spellEnd"/>
                        <w:r w:rsidRPr="00014123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. Lettura e commento della "Prefazione" dell'opera (edizione 1841-44).</w:t>
                        </w:r>
                      </w:p>
                    </w:tc>
                  </w:tr>
                  <w:tr w:rsidR="00014123" w:rsidRPr="00014123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14123" w:rsidRPr="00014123" w:rsidRDefault="00014123" w:rsidP="00804AA1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578"/>
                        </w:tblGrid>
                        <w:tr w:rsidR="00014123" w:rsidRPr="0001412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14123" w:rsidRPr="00014123" w:rsidRDefault="00014123" w:rsidP="00804A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014123" w:rsidRPr="00014123" w:rsidRDefault="00014123" w:rsidP="00804AA1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F45071" w:rsidRDefault="00F45071" w:rsidP="00804AA1">
                  <w:pPr>
                    <w:spacing w:after="0" w:line="225" w:lineRule="atLeast"/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</w:p>
                <w:p w:rsidR="00014123" w:rsidRPr="00F45071" w:rsidRDefault="00437CFE" w:rsidP="00804AA1">
                  <w:pPr>
                    <w:spacing w:after="0" w:line="240" w:lineRule="exact"/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 w:rsidRPr="00F45071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09/11/2016</w:t>
                  </w:r>
                </w:p>
                <w:p w:rsidR="00437CFE" w:rsidRPr="005B7D6D" w:rsidRDefault="00437CFE" w:rsidP="00804AA1">
                  <w:pPr>
                    <w:spacing w:after="0" w:line="240" w:lineRule="exact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8"/>
                  </w:tblGrid>
                  <w:tr w:rsidR="00437CFE" w:rsidRPr="00437CF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7CFE" w:rsidRPr="005B7D6D" w:rsidRDefault="00437CFE" w:rsidP="00804AA1">
                        <w:pPr>
                          <w:spacing w:after="0" w:line="240" w:lineRule="exac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</w:pPr>
                        <w:r w:rsidRPr="00437CFE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Fine della lettura</w:t>
                        </w:r>
                        <w:r w:rsidR="00F45071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,</w:t>
                        </w:r>
                        <w:r w:rsidRPr="00437CFE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con commento</w:t>
                        </w:r>
                        <w:r w:rsidR="00F45071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,</w:t>
                        </w:r>
                        <w:r w:rsidRPr="00437CFE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della </w:t>
                        </w:r>
                        <w:r w:rsidR="00F45071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“</w:t>
                        </w:r>
                        <w:r w:rsidRPr="00437CFE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Prefazione</w:t>
                        </w:r>
                        <w:r w:rsidR="00F45071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”</w:t>
                        </w:r>
                        <w:r w:rsidRPr="00437CFE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della </w:t>
                        </w:r>
                        <w:proofErr w:type="spellStart"/>
                        <w:r w:rsidRPr="00437CFE">
                          <w:rPr>
                            <w:rFonts w:ascii="Times New Roman" w:eastAsia="Times New Roman" w:hAnsi="Times New Roman" w:cs="Times New Roman"/>
                            <w:i/>
                            <w:color w:val="333333"/>
                            <w:sz w:val="24"/>
                            <w:szCs w:val="24"/>
                            <w:lang w:eastAsia="it-IT"/>
                          </w:rPr>
                          <w:t>Felsina</w:t>
                        </w:r>
                        <w:proofErr w:type="spellEnd"/>
                        <w:r w:rsidRPr="00437CFE">
                          <w:rPr>
                            <w:rFonts w:ascii="Times New Roman" w:eastAsia="Times New Roman" w:hAnsi="Times New Roman" w:cs="Times New Roman"/>
                            <w:i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Pittrice</w:t>
                        </w:r>
                        <w:r w:rsidRPr="00437CFE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. Approfondimento dei criteri seguiti dall'edizione critica a cura di Elizabeth </w:t>
                        </w:r>
                        <w:proofErr w:type="spellStart"/>
                        <w:r w:rsidRPr="00437CFE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Cropper</w:t>
                        </w:r>
                        <w:proofErr w:type="spellEnd"/>
                        <w:r w:rsidRPr="00437CFE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e Lorenzo Pericolo del 2012. Lettura e commento del capitolo dedicato all'arte paleocristiana (si tratta del testo il cui incipit recita "Verisimilmente Bologna sin dalla sua prima</w:t>
                        </w:r>
                        <w:r w:rsidRPr="005B7D6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  <w:r w:rsidRPr="00437CFE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  <w:t>origine...").</w:t>
                        </w:r>
                      </w:p>
                      <w:p w:rsidR="00BE2601" w:rsidRPr="005B7D6D" w:rsidRDefault="00BE2601" w:rsidP="00804AA1">
                        <w:pPr>
                          <w:spacing w:after="0" w:line="240" w:lineRule="exac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:rsidR="00797697" w:rsidRDefault="00797697" w:rsidP="00804AA1">
                        <w:pPr>
                          <w:spacing w:after="0" w:line="240" w:lineRule="exact"/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</w:rPr>
                        </w:pPr>
                      </w:p>
                      <w:p w:rsidR="00BE2601" w:rsidRPr="00797697" w:rsidRDefault="00BE2601" w:rsidP="00804AA1">
                        <w:pPr>
                          <w:spacing w:after="0" w:line="240" w:lineRule="exact"/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</w:rPr>
                        </w:pPr>
                        <w:r w:rsidRPr="00797697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</w:rPr>
                          <w:t>10/11/2016</w:t>
                        </w:r>
                      </w:p>
                      <w:p w:rsidR="00BE2601" w:rsidRPr="005B7D6D" w:rsidRDefault="00BE2601" w:rsidP="00804AA1">
                        <w:pPr>
                          <w:spacing w:after="0" w:line="240" w:lineRule="exact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9668" w:type="dxa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668"/>
                        </w:tblGrid>
                        <w:tr w:rsidR="00BE2601" w:rsidRPr="00BE2601" w:rsidTr="00BE260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BE2601" w:rsidRPr="00BE2601" w:rsidRDefault="00BE2601" w:rsidP="00804AA1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BE260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lastRenderedPageBreak/>
                                <w:t>Lettura e commento del capitolo dedicato all'arte a Bologna dal 1120 al 1240</w:t>
                              </w:r>
                              <w:r w:rsidR="00797697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r w:rsidRPr="00BE260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>(si tratta del testo il cui incipit recita "Dopo la cacciata de' barbari...")</w:t>
                              </w:r>
                              <w:r w:rsidR="00797697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r w:rsidRPr="00BE260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>con discussione dell'attacco al Vasari che</w:t>
                              </w:r>
                              <w:r w:rsidR="00797697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>, secondo Malvasia, costruì la sua versione</w:t>
                              </w:r>
                              <w:r w:rsidRPr="00BE260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 xml:space="preserve"> </w:t>
                              </w:r>
                              <w:r w:rsidR="00797697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 xml:space="preserve">dell’origine </w:t>
                              </w:r>
                              <w:r w:rsidRPr="00BE260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 xml:space="preserve">dei "primi lumi" sulla base di una tradizione puramente letteraria (Dante). Lettura e commento del capitolo dedicato agli artisti bolognesi dei secoli XIII-XIV ("Di </w:t>
                              </w:r>
                              <w:proofErr w:type="spellStart"/>
                              <w:r w:rsidRPr="00BE260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>Manno</w:t>
                              </w:r>
                              <w:proofErr w:type="spellEnd"/>
                              <w:r w:rsidRPr="00BE260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 xml:space="preserve"> e Franco Bolognese..."). Approfondimento del ciclo di affreschi già in Santa </w:t>
                              </w:r>
                              <w:proofErr w:type="spellStart"/>
                              <w:r w:rsidRPr="00BE260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>Apollonia</w:t>
                              </w:r>
                              <w:proofErr w:type="spellEnd"/>
                              <w:r w:rsidRPr="00BE260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 xml:space="preserve"> a </w:t>
                              </w:r>
                              <w:proofErr w:type="spellStart"/>
                              <w:r w:rsidRPr="00BE260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>Mezzaratta</w:t>
                              </w:r>
                              <w:proofErr w:type="spellEnd"/>
                              <w:r w:rsidRPr="00BE260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 xml:space="preserve"> e ora alla Pinacoteca di Bologna. Presentazione di alcuni studenti: Martina Trentini e Giulia Martino (sul Mancini), Alessandra </w:t>
                              </w:r>
                              <w:proofErr w:type="spellStart"/>
                              <w:r w:rsidRPr="00BE260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>Campestrini</w:t>
                              </w:r>
                              <w:proofErr w:type="spellEnd"/>
                              <w:r w:rsidRPr="00BE260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 xml:space="preserve"> e Alice </w:t>
                              </w:r>
                              <w:proofErr w:type="spellStart"/>
                              <w:r w:rsidRPr="00BE260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>Salavolti</w:t>
                              </w:r>
                              <w:proofErr w:type="spellEnd"/>
                              <w:r w:rsidRPr="00BE260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 xml:space="preserve"> (sul </w:t>
                              </w:r>
                              <w:proofErr w:type="spellStart"/>
                              <w:r w:rsidRPr="00BE260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>Baglione</w:t>
                              </w:r>
                              <w:proofErr w:type="spellEnd"/>
                              <w:r w:rsidRPr="00BE260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  <w:t>).</w:t>
                              </w:r>
                            </w:p>
                          </w:tc>
                        </w:tr>
                        <w:tr w:rsidR="00BE2601" w:rsidRPr="00BE2601" w:rsidTr="00BE260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BE2601" w:rsidRPr="00BE2601" w:rsidRDefault="00BE2601" w:rsidP="00804AA1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BE2601" w:rsidRPr="00BE2601" w:rsidTr="00BE260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BE2601" w:rsidRPr="00BE2601" w:rsidRDefault="00BE2601" w:rsidP="00804AA1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BE2601" w:rsidRPr="00BE2601" w:rsidTr="00BE260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BE2601" w:rsidRPr="00BE2601" w:rsidRDefault="00BE2601" w:rsidP="00804AA1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BE2601" w:rsidRPr="00437CFE" w:rsidRDefault="00BE2601" w:rsidP="00804AA1">
                        <w:pPr>
                          <w:spacing w:after="0" w:line="240" w:lineRule="exac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437CFE" w:rsidRPr="00437CF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7CFE" w:rsidRPr="00437CFE" w:rsidRDefault="00437CFE" w:rsidP="00804AA1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578"/>
                        </w:tblGrid>
                        <w:tr w:rsidR="00437CFE" w:rsidRPr="00437CF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37CFE" w:rsidRPr="00437CFE" w:rsidRDefault="00437CFE" w:rsidP="00804A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437CFE" w:rsidRPr="00437CFE" w:rsidRDefault="00437CFE" w:rsidP="00804AA1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437CFE" w:rsidRPr="00BB77FE" w:rsidRDefault="00437CFE" w:rsidP="00804AA1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BB77FE" w:rsidRPr="00BB77F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B77FE" w:rsidRPr="00BB77FE" w:rsidRDefault="00BB77FE" w:rsidP="00804AA1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BB77FE" w:rsidRPr="00385396" w:rsidRDefault="00BB77FE" w:rsidP="00804AA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</w:tr>
      <w:tr w:rsidR="00385396" w:rsidRPr="003853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5396" w:rsidRPr="00385396" w:rsidRDefault="00385396" w:rsidP="00385396">
            <w:pPr>
              <w:spacing w:after="0" w:line="225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385396" w:rsidRPr="00296EB3" w:rsidRDefault="005B7D6D" w:rsidP="00296EB3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96EB3">
        <w:rPr>
          <w:rFonts w:ascii="Times New Roman" w:hAnsi="Times New Roman" w:cs="Times New Roman"/>
          <w:b/>
          <w:color w:val="333333"/>
          <w:sz w:val="24"/>
          <w:szCs w:val="24"/>
        </w:rPr>
        <w:t>11/11/2016</w:t>
      </w:r>
    </w:p>
    <w:p w:rsidR="00804AA1" w:rsidRDefault="00804AA1" w:rsidP="00296EB3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5B7D6D" w:rsidRPr="00EF007D" w:rsidRDefault="005B7D6D" w:rsidP="00296EB3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EF007D">
        <w:rPr>
          <w:rFonts w:ascii="Times New Roman" w:hAnsi="Times New Roman" w:cs="Times New Roman"/>
          <w:color w:val="333333"/>
          <w:sz w:val="24"/>
          <w:szCs w:val="24"/>
        </w:rPr>
        <w:t xml:space="preserve">Lettura e commento della Vita di Francesco Francia nella redazione di Vasari, incorporata da Malvasia nella sua </w:t>
      </w:r>
      <w:proofErr w:type="spellStart"/>
      <w:r w:rsidRPr="00EF007D">
        <w:rPr>
          <w:rFonts w:ascii="Times New Roman" w:hAnsi="Times New Roman" w:cs="Times New Roman"/>
          <w:color w:val="333333"/>
          <w:sz w:val="24"/>
          <w:szCs w:val="24"/>
        </w:rPr>
        <w:t>Felsina</w:t>
      </w:r>
      <w:proofErr w:type="spellEnd"/>
      <w:r w:rsidRPr="00EF007D">
        <w:rPr>
          <w:rFonts w:ascii="Times New Roman" w:hAnsi="Times New Roman" w:cs="Times New Roman"/>
          <w:color w:val="333333"/>
          <w:sz w:val="24"/>
          <w:szCs w:val="24"/>
        </w:rPr>
        <w:t xml:space="preserve"> Pittrice. Confutazione della versione </w:t>
      </w:r>
      <w:proofErr w:type="spellStart"/>
      <w:r w:rsidRPr="00EF007D">
        <w:rPr>
          <w:rFonts w:ascii="Times New Roman" w:hAnsi="Times New Roman" w:cs="Times New Roman"/>
          <w:color w:val="333333"/>
          <w:sz w:val="24"/>
          <w:szCs w:val="24"/>
        </w:rPr>
        <w:t>vasariana</w:t>
      </w:r>
      <w:proofErr w:type="spellEnd"/>
      <w:r w:rsidRPr="00EF007D">
        <w:rPr>
          <w:rFonts w:ascii="Times New Roman" w:hAnsi="Times New Roman" w:cs="Times New Roman"/>
          <w:color w:val="333333"/>
          <w:sz w:val="24"/>
          <w:szCs w:val="24"/>
        </w:rPr>
        <w:t xml:space="preserve"> delle morte del pittore da parte del Malvasia. Il problema della credibilità di quest'ultimo.</w:t>
      </w:r>
    </w:p>
    <w:p w:rsidR="005B7D6D" w:rsidRPr="00EF007D" w:rsidRDefault="005B7D6D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5B7D6D" w:rsidRPr="00296EB3" w:rsidRDefault="005B7D6D" w:rsidP="00296EB3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96EB3">
        <w:rPr>
          <w:rFonts w:ascii="Times New Roman" w:hAnsi="Times New Roman" w:cs="Times New Roman"/>
          <w:b/>
          <w:color w:val="333333"/>
          <w:sz w:val="24"/>
          <w:szCs w:val="24"/>
        </w:rPr>
        <w:t>16/11/2016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5B7D6D" w:rsidRPr="005B7D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AA1" w:rsidRDefault="00804AA1" w:rsidP="00296EB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  <w:p w:rsidR="005B7D6D" w:rsidRPr="005B7D6D" w:rsidRDefault="005B7D6D" w:rsidP="00296EB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Presentazioni degli studenti Antonio Bova su </w:t>
            </w:r>
            <w:proofErr w:type="spellStart"/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Panofsky</w:t>
            </w:r>
            <w:proofErr w:type="spellEnd"/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(articolo su Vasari e il gotico), e di Sara Alberti con Elisa </w:t>
            </w:r>
            <w:proofErr w:type="spellStart"/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Scibilia</w:t>
            </w:r>
            <w:proofErr w:type="spellEnd"/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sul </w:t>
            </w:r>
            <w:proofErr w:type="spellStart"/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Bellori</w:t>
            </w:r>
            <w:proofErr w:type="spellEnd"/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.</w:t>
            </w:r>
          </w:p>
        </w:tc>
      </w:tr>
      <w:tr w:rsidR="005B7D6D" w:rsidRPr="005B7D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7D6D" w:rsidRPr="005B7D6D" w:rsidRDefault="005B7D6D" w:rsidP="005B7D6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5B7D6D" w:rsidRPr="00EF007D" w:rsidRDefault="005B7D6D">
      <w:pPr>
        <w:rPr>
          <w:rFonts w:ascii="Times New Roman" w:hAnsi="Times New Roman" w:cs="Times New Roman"/>
          <w:sz w:val="24"/>
          <w:szCs w:val="24"/>
        </w:rPr>
      </w:pPr>
    </w:p>
    <w:p w:rsidR="005B7D6D" w:rsidRPr="00296EB3" w:rsidRDefault="005B7D6D" w:rsidP="00296EB3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96EB3">
        <w:rPr>
          <w:rFonts w:ascii="Times New Roman" w:hAnsi="Times New Roman" w:cs="Times New Roman"/>
          <w:b/>
          <w:color w:val="333333"/>
          <w:sz w:val="24"/>
          <w:szCs w:val="24"/>
        </w:rPr>
        <w:t>19/11/2016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5B7D6D" w:rsidRPr="005B7D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AA1" w:rsidRDefault="00804AA1" w:rsidP="00296EB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  <w:p w:rsidR="005B7D6D" w:rsidRPr="005B7D6D" w:rsidRDefault="005B7D6D" w:rsidP="00296EB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Visita di studio a Bologna: in particolare vista alla chiese di Santa Maria della Vita, di Santo Stefano e di San Domenico. </w:t>
            </w:r>
          </w:p>
        </w:tc>
      </w:tr>
      <w:tr w:rsidR="005B7D6D" w:rsidRPr="005B7D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7D6D" w:rsidRPr="005B7D6D" w:rsidRDefault="005B7D6D" w:rsidP="005B7D6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5B7D6D" w:rsidRPr="00EF007D" w:rsidRDefault="005B7D6D">
      <w:pPr>
        <w:rPr>
          <w:rFonts w:ascii="Times New Roman" w:hAnsi="Times New Roman" w:cs="Times New Roman"/>
          <w:sz w:val="24"/>
          <w:szCs w:val="24"/>
        </w:rPr>
      </w:pPr>
    </w:p>
    <w:p w:rsidR="005B7D6D" w:rsidRDefault="005B7D6D" w:rsidP="00296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EB3">
        <w:rPr>
          <w:rFonts w:ascii="Times New Roman" w:hAnsi="Times New Roman" w:cs="Times New Roman"/>
          <w:b/>
          <w:sz w:val="24"/>
          <w:szCs w:val="24"/>
        </w:rPr>
        <w:t>20/11/2016</w:t>
      </w:r>
    </w:p>
    <w:p w:rsidR="00804AA1" w:rsidRPr="00296EB3" w:rsidRDefault="00804AA1" w:rsidP="00296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5B7D6D" w:rsidRPr="005B7D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7D6D" w:rsidRPr="005B7D6D" w:rsidRDefault="005B7D6D" w:rsidP="0029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Visita di studio a Bologna con relazioni degli studenti davanti alle opere d'arte di cui si è già discusso a lezione. In particolare: visita alla Cappella Bolognini in San Petronio (con presentazione di </w:t>
            </w:r>
            <w:proofErr w:type="spellStart"/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Ivonia</w:t>
            </w:r>
            <w:proofErr w:type="spellEnd"/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Felicetti</w:t>
            </w:r>
            <w:proofErr w:type="spellEnd"/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e Deborah </w:t>
            </w:r>
            <w:proofErr w:type="spellStart"/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Comper</w:t>
            </w:r>
            <w:proofErr w:type="spellEnd"/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), all'Oratorio di Santa Cecilia e alla Pinacoteca Nazionale di Bologna (con presentazioni di Greta </w:t>
            </w:r>
            <w:proofErr w:type="spellStart"/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Bortolotti</w:t>
            </w:r>
            <w:proofErr w:type="spellEnd"/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sul ciclo di affreschi di </w:t>
            </w:r>
            <w:proofErr w:type="spellStart"/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Mezzaratta</w:t>
            </w:r>
            <w:proofErr w:type="spellEnd"/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, Adele </w:t>
            </w:r>
            <w:proofErr w:type="spellStart"/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Melpignano</w:t>
            </w:r>
            <w:proofErr w:type="spellEnd"/>
            <w:r w:rsidRPr="005B7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su Vitale da Bologna e Adelaide Fontana su Lavinia Fontana).</w:t>
            </w:r>
          </w:p>
        </w:tc>
      </w:tr>
      <w:tr w:rsidR="005B7D6D" w:rsidRPr="005B7D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7D6D" w:rsidRPr="005B7D6D" w:rsidRDefault="005B7D6D" w:rsidP="00296EB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5B7D6D" w:rsidRDefault="005B7D6D">
      <w:pPr>
        <w:rPr>
          <w:rFonts w:ascii="Times New Roman" w:hAnsi="Times New Roman" w:cs="Times New Roman"/>
          <w:sz w:val="24"/>
          <w:szCs w:val="24"/>
        </w:rPr>
      </w:pPr>
    </w:p>
    <w:p w:rsidR="00CC2C43" w:rsidRDefault="00CC2C43">
      <w:pPr>
        <w:rPr>
          <w:rFonts w:ascii="Times New Roman" w:hAnsi="Times New Roman" w:cs="Times New Roman"/>
          <w:sz w:val="24"/>
          <w:szCs w:val="24"/>
        </w:rPr>
      </w:pPr>
    </w:p>
    <w:p w:rsidR="00CC2C43" w:rsidRDefault="00CC2C43" w:rsidP="00CC2C43">
      <w:pPr>
        <w:rPr>
          <w:rFonts w:ascii="Times New Roman" w:hAnsi="Times New Roman" w:cs="Times New Roman"/>
          <w:b/>
          <w:sz w:val="32"/>
          <w:szCs w:val="32"/>
        </w:rPr>
      </w:pPr>
      <w:r w:rsidRPr="00CC2C43">
        <w:rPr>
          <w:rFonts w:ascii="Times New Roman" w:hAnsi="Times New Roman" w:cs="Times New Roman"/>
          <w:b/>
          <w:sz w:val="32"/>
          <w:szCs w:val="32"/>
          <w:highlight w:val="yellow"/>
        </w:rPr>
        <w:t>Bibliografia per argomenti:</w:t>
      </w:r>
    </w:p>
    <w:p w:rsidR="00FA09F9" w:rsidRPr="006666E9" w:rsidRDefault="00FA09F9" w:rsidP="006666E9">
      <w:pPr>
        <w:rPr>
          <w:rFonts w:ascii="Times New Roman" w:hAnsi="Times New Roman" w:cs="Times New Roman"/>
          <w:b/>
          <w:sz w:val="24"/>
          <w:szCs w:val="24"/>
        </w:rPr>
      </w:pPr>
      <w:r w:rsidRPr="006666E9">
        <w:rPr>
          <w:rFonts w:ascii="Times New Roman" w:hAnsi="Times New Roman" w:cs="Times New Roman"/>
          <w:b/>
          <w:sz w:val="24"/>
          <w:szCs w:val="24"/>
        </w:rPr>
        <w:t>Per un’introduzione alla letteratura artistica fra XVI e XVII secolo rimando a uno dei seguenti testi</w:t>
      </w:r>
      <w:r w:rsidR="00865FA7" w:rsidRPr="006666E9">
        <w:rPr>
          <w:rFonts w:ascii="Times New Roman" w:hAnsi="Times New Roman" w:cs="Times New Roman"/>
          <w:b/>
          <w:sz w:val="24"/>
          <w:szCs w:val="24"/>
        </w:rPr>
        <w:t xml:space="preserve"> (da usare, appunto, per costruirsi una “griglia mentale” in cui inserire il discorso svolto a lezione)</w:t>
      </w:r>
      <w:r w:rsidRPr="006666E9">
        <w:rPr>
          <w:rFonts w:ascii="Times New Roman" w:hAnsi="Times New Roman" w:cs="Times New Roman"/>
          <w:b/>
          <w:sz w:val="24"/>
          <w:szCs w:val="24"/>
        </w:rPr>
        <w:t>:</w:t>
      </w:r>
    </w:p>
    <w:p w:rsidR="00000000" w:rsidRPr="00FA09F9" w:rsidRDefault="00CB185F" w:rsidP="00FA09F9">
      <w:pPr>
        <w:rPr>
          <w:rFonts w:ascii="Times New Roman" w:hAnsi="Times New Roman" w:cs="Times New Roman"/>
          <w:sz w:val="24"/>
          <w:szCs w:val="24"/>
        </w:rPr>
      </w:pPr>
      <w:r w:rsidRPr="00FA09F9">
        <w:rPr>
          <w:rFonts w:ascii="Times New Roman" w:hAnsi="Times New Roman" w:cs="Times New Roman"/>
          <w:sz w:val="24"/>
          <w:szCs w:val="24"/>
        </w:rPr>
        <w:t xml:space="preserve">Ferdinando Bologna, </w:t>
      </w:r>
      <w:r w:rsidRPr="00FA09F9">
        <w:rPr>
          <w:rFonts w:ascii="Times New Roman" w:hAnsi="Times New Roman" w:cs="Times New Roman"/>
          <w:i/>
          <w:iCs/>
          <w:sz w:val="24"/>
          <w:szCs w:val="24"/>
        </w:rPr>
        <w:t>La coscienza storica dell’arte italiana</w:t>
      </w:r>
      <w:r w:rsidRPr="00FA09F9">
        <w:rPr>
          <w:rFonts w:ascii="Times New Roman" w:hAnsi="Times New Roman" w:cs="Times New Roman"/>
          <w:sz w:val="24"/>
          <w:szCs w:val="24"/>
        </w:rPr>
        <w:t>, Torino: UTET, 1982</w:t>
      </w:r>
    </w:p>
    <w:p w:rsidR="00000000" w:rsidRPr="00FA09F9" w:rsidRDefault="00CB185F" w:rsidP="00FA09F9">
      <w:pPr>
        <w:rPr>
          <w:rFonts w:ascii="Times New Roman" w:hAnsi="Times New Roman" w:cs="Times New Roman"/>
          <w:sz w:val="24"/>
          <w:szCs w:val="24"/>
        </w:rPr>
      </w:pPr>
      <w:r w:rsidRPr="00FA09F9">
        <w:rPr>
          <w:rFonts w:ascii="Times New Roman" w:hAnsi="Times New Roman" w:cs="Times New Roman"/>
          <w:sz w:val="24"/>
          <w:szCs w:val="24"/>
        </w:rPr>
        <w:t xml:space="preserve">Luigi Grassi, </w:t>
      </w:r>
      <w:r w:rsidRPr="00FA09F9">
        <w:rPr>
          <w:rFonts w:ascii="Times New Roman" w:hAnsi="Times New Roman" w:cs="Times New Roman"/>
          <w:i/>
          <w:iCs/>
          <w:sz w:val="24"/>
          <w:szCs w:val="24"/>
        </w:rPr>
        <w:t>Teorici</w:t>
      </w:r>
      <w:r w:rsidRPr="00FA09F9">
        <w:rPr>
          <w:rFonts w:ascii="Times New Roman" w:hAnsi="Times New Roman" w:cs="Times New Roman"/>
          <w:i/>
          <w:iCs/>
          <w:sz w:val="24"/>
          <w:szCs w:val="24"/>
        </w:rPr>
        <w:t xml:space="preserve"> e storia della critica d’arte. Parte Seconda. L’età moderna: il Seicento</w:t>
      </w:r>
      <w:r w:rsidRPr="00FA09F9">
        <w:rPr>
          <w:rFonts w:ascii="Times New Roman" w:hAnsi="Times New Roman" w:cs="Times New Roman"/>
          <w:sz w:val="24"/>
          <w:szCs w:val="24"/>
        </w:rPr>
        <w:t xml:space="preserve">, Roma: </w:t>
      </w:r>
      <w:proofErr w:type="spellStart"/>
      <w:r w:rsidRPr="00FA09F9">
        <w:rPr>
          <w:rFonts w:ascii="Times New Roman" w:hAnsi="Times New Roman" w:cs="Times New Roman"/>
          <w:sz w:val="24"/>
          <w:szCs w:val="24"/>
        </w:rPr>
        <w:t>Multigrafica</w:t>
      </w:r>
      <w:proofErr w:type="spellEnd"/>
      <w:r w:rsidRPr="00FA09F9">
        <w:rPr>
          <w:rFonts w:ascii="Times New Roman" w:hAnsi="Times New Roman" w:cs="Times New Roman"/>
          <w:sz w:val="24"/>
          <w:szCs w:val="24"/>
        </w:rPr>
        <w:t xml:space="preserve"> Editrice, 1973</w:t>
      </w:r>
      <w:r w:rsidRPr="00FA09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Pr="00FA09F9" w:rsidRDefault="00CB185F" w:rsidP="00FA09F9">
      <w:pPr>
        <w:rPr>
          <w:rFonts w:ascii="Times New Roman" w:hAnsi="Times New Roman" w:cs="Times New Roman"/>
          <w:sz w:val="24"/>
          <w:szCs w:val="24"/>
        </w:rPr>
      </w:pPr>
      <w:r w:rsidRPr="00FA09F9">
        <w:rPr>
          <w:rFonts w:ascii="Times New Roman" w:hAnsi="Times New Roman" w:cs="Times New Roman"/>
          <w:sz w:val="24"/>
          <w:szCs w:val="24"/>
        </w:rPr>
        <w:lastRenderedPageBreak/>
        <w:t xml:space="preserve">Orietta Rossi </w:t>
      </w:r>
      <w:proofErr w:type="spellStart"/>
      <w:r w:rsidRPr="00FA09F9">
        <w:rPr>
          <w:rFonts w:ascii="Times New Roman" w:hAnsi="Times New Roman" w:cs="Times New Roman"/>
          <w:sz w:val="24"/>
          <w:szCs w:val="24"/>
        </w:rPr>
        <w:t>Pinelli</w:t>
      </w:r>
      <w:proofErr w:type="spellEnd"/>
      <w:r w:rsidRPr="00FA09F9">
        <w:rPr>
          <w:rFonts w:ascii="Times New Roman" w:hAnsi="Times New Roman" w:cs="Times New Roman"/>
          <w:sz w:val="24"/>
          <w:szCs w:val="24"/>
        </w:rPr>
        <w:t xml:space="preserve"> (a cura di), </w:t>
      </w:r>
      <w:r w:rsidRPr="00FA09F9">
        <w:rPr>
          <w:rFonts w:ascii="Times New Roman" w:hAnsi="Times New Roman" w:cs="Times New Roman"/>
          <w:i/>
          <w:iCs/>
          <w:sz w:val="24"/>
          <w:szCs w:val="24"/>
        </w:rPr>
        <w:t>La storia</w:t>
      </w:r>
      <w:r w:rsidRPr="00FA09F9">
        <w:rPr>
          <w:rFonts w:ascii="Times New Roman" w:hAnsi="Times New Roman" w:cs="Times New Roman"/>
          <w:i/>
          <w:iCs/>
          <w:sz w:val="24"/>
          <w:szCs w:val="24"/>
        </w:rPr>
        <w:t xml:space="preserve"> delle storie dell’arte</w:t>
      </w:r>
      <w:r w:rsidRPr="00FA09F9">
        <w:rPr>
          <w:rFonts w:ascii="Times New Roman" w:hAnsi="Times New Roman" w:cs="Times New Roman"/>
          <w:sz w:val="24"/>
          <w:szCs w:val="24"/>
        </w:rPr>
        <w:t>, Torino: Einaudi, 2014</w:t>
      </w:r>
    </w:p>
    <w:p w:rsidR="00FA09F9" w:rsidRPr="00FA09F9" w:rsidRDefault="00FA09F9" w:rsidP="00FA09F9">
      <w:pPr>
        <w:rPr>
          <w:rFonts w:ascii="Times New Roman" w:hAnsi="Times New Roman" w:cs="Times New Roman"/>
          <w:sz w:val="24"/>
          <w:szCs w:val="24"/>
        </w:rPr>
      </w:pPr>
      <w:r w:rsidRPr="00FA09F9">
        <w:rPr>
          <w:rFonts w:ascii="Times New Roman" w:hAnsi="Times New Roman" w:cs="Times New Roman"/>
          <w:sz w:val="24"/>
          <w:szCs w:val="24"/>
        </w:rPr>
        <w:t xml:space="preserve">Julius </w:t>
      </w:r>
      <w:proofErr w:type="spellStart"/>
      <w:r w:rsidRPr="00FA09F9">
        <w:rPr>
          <w:rFonts w:ascii="Times New Roman" w:hAnsi="Times New Roman" w:cs="Times New Roman"/>
          <w:sz w:val="24"/>
          <w:szCs w:val="24"/>
        </w:rPr>
        <w:t>Schlosser</w:t>
      </w:r>
      <w:proofErr w:type="spellEnd"/>
      <w:r w:rsidRPr="00FA0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9F9">
        <w:rPr>
          <w:rFonts w:ascii="Times New Roman" w:hAnsi="Times New Roman" w:cs="Times New Roman"/>
          <w:sz w:val="24"/>
          <w:szCs w:val="24"/>
        </w:rPr>
        <w:t>Magnino</w:t>
      </w:r>
      <w:proofErr w:type="spellEnd"/>
      <w:r w:rsidRPr="00FA09F9">
        <w:rPr>
          <w:rFonts w:ascii="Times New Roman" w:hAnsi="Times New Roman" w:cs="Times New Roman"/>
          <w:sz w:val="24"/>
          <w:szCs w:val="24"/>
        </w:rPr>
        <w:t xml:space="preserve">, </w:t>
      </w:r>
      <w:r w:rsidRPr="00FA09F9">
        <w:rPr>
          <w:rFonts w:ascii="Times New Roman" w:hAnsi="Times New Roman" w:cs="Times New Roman"/>
          <w:i/>
          <w:iCs/>
          <w:sz w:val="24"/>
          <w:szCs w:val="24"/>
        </w:rPr>
        <w:t>La letteratura artistica</w:t>
      </w:r>
      <w:r w:rsidRPr="00FA09F9">
        <w:rPr>
          <w:rFonts w:ascii="Times New Roman" w:hAnsi="Times New Roman" w:cs="Times New Roman"/>
          <w:sz w:val="24"/>
          <w:szCs w:val="24"/>
        </w:rPr>
        <w:t>, Firenze: La Nuova Italia 1977 (I ed. Vienna 1924)</w:t>
      </w:r>
    </w:p>
    <w:p w:rsidR="00FA09F9" w:rsidRDefault="00FA09F9" w:rsidP="00CC2C43">
      <w:pPr>
        <w:rPr>
          <w:rFonts w:ascii="Times New Roman" w:hAnsi="Times New Roman" w:cs="Times New Roman"/>
          <w:b/>
          <w:sz w:val="24"/>
          <w:szCs w:val="24"/>
        </w:rPr>
      </w:pPr>
    </w:p>
    <w:p w:rsidR="00CC2C43" w:rsidRPr="00C93C2D" w:rsidRDefault="00C93C2D" w:rsidP="00CC2C43">
      <w:pPr>
        <w:rPr>
          <w:rFonts w:ascii="Times New Roman" w:hAnsi="Times New Roman" w:cs="Times New Roman"/>
          <w:b/>
          <w:sz w:val="28"/>
          <w:szCs w:val="28"/>
        </w:rPr>
      </w:pPr>
      <w:r w:rsidRPr="00C93C2D">
        <w:rPr>
          <w:rFonts w:ascii="Times New Roman" w:hAnsi="Times New Roman" w:cs="Times New Roman"/>
          <w:b/>
          <w:sz w:val="28"/>
          <w:szCs w:val="28"/>
        </w:rPr>
        <w:t>Di</w:t>
      </w:r>
      <w:r w:rsidR="00CC2C43" w:rsidRPr="00C93C2D">
        <w:rPr>
          <w:rFonts w:ascii="Times New Roman" w:hAnsi="Times New Roman" w:cs="Times New Roman"/>
          <w:b/>
          <w:sz w:val="28"/>
          <w:szCs w:val="28"/>
        </w:rPr>
        <w:t xml:space="preserve"> Vasari:</w:t>
      </w:r>
    </w:p>
    <w:p w:rsidR="00403523" w:rsidRDefault="00606910" w:rsidP="00606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testi tratti dalle </w:t>
      </w:r>
      <w:r w:rsidRPr="00606910">
        <w:rPr>
          <w:rFonts w:ascii="Times New Roman" w:hAnsi="Times New Roman" w:cs="Times New Roman"/>
          <w:i/>
          <w:sz w:val="24"/>
          <w:szCs w:val="24"/>
        </w:rPr>
        <w:t>Vite</w:t>
      </w:r>
      <w:r>
        <w:rPr>
          <w:rFonts w:ascii="Times New Roman" w:hAnsi="Times New Roman" w:cs="Times New Roman"/>
          <w:sz w:val="24"/>
          <w:szCs w:val="24"/>
        </w:rPr>
        <w:t>, che sono stati letti e commentati a lezione</w:t>
      </w:r>
      <w:r w:rsidR="004035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sono reperibili </w:t>
      </w:r>
      <w:r w:rsidR="00403523">
        <w:rPr>
          <w:rFonts w:ascii="Times New Roman" w:hAnsi="Times New Roman" w:cs="Times New Roman"/>
          <w:sz w:val="24"/>
          <w:szCs w:val="24"/>
        </w:rPr>
        <w:t xml:space="preserve">online sul sito MEMOFONTE: </w:t>
      </w:r>
      <w:hyperlink r:id="rId5" w:history="1">
        <w:r w:rsidR="00403523" w:rsidRPr="0026235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http://www.memofonte.it/autori/giorgio-vasari-1511-1574.html</w:t>
        </w:r>
      </w:hyperlink>
    </w:p>
    <w:p w:rsidR="00403523" w:rsidRDefault="00403523" w:rsidP="00403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possono poi consultare le seguenti edizioni:</w:t>
      </w:r>
    </w:p>
    <w:p w:rsidR="00403523" w:rsidRPr="00403523" w:rsidRDefault="00403523" w:rsidP="00403523">
      <w:pPr>
        <w:rPr>
          <w:rFonts w:ascii="Times New Roman" w:hAnsi="Times New Roman" w:cs="Times New Roman"/>
          <w:b/>
          <w:sz w:val="24"/>
          <w:szCs w:val="24"/>
        </w:rPr>
      </w:pPr>
      <w:r w:rsidRPr="00606910">
        <w:rPr>
          <w:rFonts w:ascii="Times New Roman" w:hAnsi="Times New Roman" w:cs="Times New Roman"/>
          <w:sz w:val="24"/>
          <w:szCs w:val="24"/>
        </w:rPr>
        <w:t xml:space="preserve">Giorgio Vasari, </w:t>
      </w:r>
      <w:r w:rsidRPr="00606910">
        <w:rPr>
          <w:rFonts w:ascii="Times New Roman" w:hAnsi="Times New Roman" w:cs="Times New Roman"/>
          <w:i/>
          <w:iCs/>
          <w:sz w:val="24"/>
          <w:szCs w:val="24"/>
        </w:rPr>
        <w:t>Le vite de’ più eccellenti pittori, scultori ed archi tettori: nelle redazioni del 1550 e 1568</w:t>
      </w:r>
      <w:r w:rsidRPr="00606910">
        <w:rPr>
          <w:rFonts w:ascii="Times New Roman" w:hAnsi="Times New Roman" w:cs="Times New Roman"/>
          <w:sz w:val="24"/>
          <w:szCs w:val="24"/>
        </w:rPr>
        <w:t>, a cura di Rosanna Bettarini e Paola Barocchi, 6 vol., Firenze: Sansoni, 1966-1987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523">
        <w:rPr>
          <w:rFonts w:ascii="Times New Roman" w:hAnsi="Times New Roman" w:cs="Times New Roman"/>
          <w:b/>
          <w:sz w:val="24"/>
          <w:szCs w:val="24"/>
        </w:rPr>
        <w:t>(edi</w:t>
      </w:r>
      <w:r w:rsidR="00C93C2D">
        <w:rPr>
          <w:rFonts w:ascii="Times New Roman" w:hAnsi="Times New Roman" w:cs="Times New Roman"/>
          <w:b/>
          <w:sz w:val="24"/>
          <w:szCs w:val="24"/>
        </w:rPr>
        <w:t>zione standard</w:t>
      </w:r>
      <w:r w:rsidRPr="00403523">
        <w:rPr>
          <w:rFonts w:ascii="Times New Roman" w:hAnsi="Times New Roman" w:cs="Times New Roman"/>
          <w:b/>
          <w:sz w:val="24"/>
          <w:szCs w:val="24"/>
        </w:rPr>
        <w:t>, la stessa pubblicata in MEMOFONTE, con poche note storico-critiche ma utilissima perché sinottica delle due edizioni del 1550 e 1568)</w:t>
      </w:r>
    </w:p>
    <w:p w:rsidR="00606910" w:rsidRPr="00C93C2D" w:rsidRDefault="00606910" w:rsidP="00606910">
      <w:pPr>
        <w:rPr>
          <w:rFonts w:ascii="Times New Roman" w:hAnsi="Times New Roman" w:cs="Times New Roman"/>
          <w:b/>
          <w:sz w:val="24"/>
          <w:szCs w:val="24"/>
        </w:rPr>
      </w:pPr>
      <w:r w:rsidRPr="00606910">
        <w:rPr>
          <w:rFonts w:ascii="Times New Roman" w:hAnsi="Times New Roman" w:cs="Times New Roman"/>
          <w:sz w:val="24"/>
          <w:szCs w:val="24"/>
        </w:rPr>
        <w:t xml:space="preserve">Giorgio Vasari, </w:t>
      </w:r>
      <w:r w:rsidRPr="00606910">
        <w:rPr>
          <w:rFonts w:ascii="Times New Roman" w:hAnsi="Times New Roman" w:cs="Times New Roman"/>
          <w:i/>
          <w:iCs/>
          <w:sz w:val="24"/>
          <w:szCs w:val="24"/>
        </w:rPr>
        <w:t xml:space="preserve">Le vite de’ più eccellenti pittori, scultori ed </w:t>
      </w:r>
      <w:proofErr w:type="spellStart"/>
      <w:r w:rsidRPr="00606910">
        <w:rPr>
          <w:rFonts w:ascii="Times New Roman" w:hAnsi="Times New Roman" w:cs="Times New Roman"/>
          <w:i/>
          <w:iCs/>
          <w:sz w:val="24"/>
          <w:szCs w:val="24"/>
        </w:rPr>
        <w:t>architettori</w:t>
      </w:r>
      <w:proofErr w:type="spellEnd"/>
      <w:r w:rsidRPr="00606910">
        <w:rPr>
          <w:rFonts w:ascii="Times New Roman" w:hAnsi="Times New Roman" w:cs="Times New Roman"/>
          <w:i/>
          <w:iCs/>
          <w:sz w:val="24"/>
          <w:szCs w:val="24"/>
        </w:rPr>
        <w:t xml:space="preserve"> scritte da Giorgio Vasari, pittore aretino, con nuove annotazioni e commenti di Gaetano Milanesi</w:t>
      </w:r>
      <w:r w:rsidRPr="00606910">
        <w:rPr>
          <w:rFonts w:ascii="Times New Roman" w:hAnsi="Times New Roman" w:cs="Times New Roman"/>
          <w:sz w:val="24"/>
          <w:szCs w:val="24"/>
        </w:rPr>
        <w:t>, 9 vol., Firenze: Sansoni, 1878-1885</w:t>
      </w:r>
      <w:r w:rsidR="00C93C2D">
        <w:rPr>
          <w:rFonts w:ascii="Times New Roman" w:hAnsi="Times New Roman" w:cs="Times New Roman"/>
          <w:sz w:val="24"/>
          <w:szCs w:val="24"/>
        </w:rPr>
        <w:t xml:space="preserve"> </w:t>
      </w:r>
      <w:r w:rsidR="00C93C2D" w:rsidRPr="00C93C2D">
        <w:rPr>
          <w:rFonts w:ascii="Times New Roman" w:hAnsi="Times New Roman" w:cs="Times New Roman"/>
          <w:b/>
          <w:sz w:val="24"/>
          <w:szCs w:val="24"/>
        </w:rPr>
        <w:t xml:space="preserve">(edizione classica, con ricche note storico-critiche, </w:t>
      </w:r>
      <w:r w:rsidR="00C93C2D">
        <w:rPr>
          <w:rFonts w:ascii="Times New Roman" w:hAnsi="Times New Roman" w:cs="Times New Roman"/>
          <w:b/>
          <w:sz w:val="24"/>
          <w:szCs w:val="24"/>
        </w:rPr>
        <w:t xml:space="preserve">assai </w:t>
      </w:r>
      <w:r w:rsidR="00C93C2D" w:rsidRPr="00C93C2D">
        <w:rPr>
          <w:rFonts w:ascii="Times New Roman" w:hAnsi="Times New Roman" w:cs="Times New Roman"/>
          <w:b/>
          <w:sz w:val="24"/>
          <w:szCs w:val="24"/>
        </w:rPr>
        <w:t>utili ma ormai spesso superate)</w:t>
      </w:r>
    </w:p>
    <w:p w:rsidR="00606910" w:rsidRPr="00606910" w:rsidRDefault="00606910" w:rsidP="00606910">
      <w:pPr>
        <w:rPr>
          <w:rFonts w:ascii="Times New Roman" w:hAnsi="Times New Roman" w:cs="Times New Roman"/>
          <w:sz w:val="24"/>
          <w:szCs w:val="24"/>
        </w:rPr>
      </w:pPr>
      <w:r w:rsidRPr="00606910">
        <w:rPr>
          <w:rFonts w:ascii="Times New Roman" w:hAnsi="Times New Roman" w:cs="Times New Roman"/>
          <w:sz w:val="24"/>
          <w:szCs w:val="24"/>
        </w:rPr>
        <w:t xml:space="preserve">Giorgio Vasari, </w:t>
      </w:r>
      <w:proofErr w:type="spellStart"/>
      <w:r w:rsidRPr="00C93C2D">
        <w:rPr>
          <w:rFonts w:ascii="Times New Roman" w:hAnsi="Times New Roman" w:cs="Times New Roman"/>
          <w:i/>
          <w:sz w:val="24"/>
          <w:szCs w:val="24"/>
        </w:rPr>
        <w:t>Das</w:t>
      </w:r>
      <w:proofErr w:type="spellEnd"/>
      <w:r w:rsidRPr="00C93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3C2D">
        <w:rPr>
          <w:rFonts w:ascii="Times New Roman" w:hAnsi="Times New Roman" w:cs="Times New Roman"/>
          <w:i/>
          <w:sz w:val="24"/>
          <w:szCs w:val="24"/>
        </w:rPr>
        <w:t>Leben</w:t>
      </w:r>
      <w:proofErr w:type="spellEnd"/>
      <w:r w:rsidRPr="00C93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3C2D"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 w:rsidRPr="00C93C2D">
        <w:rPr>
          <w:rFonts w:ascii="Times New Roman" w:hAnsi="Times New Roman" w:cs="Times New Roman"/>
          <w:i/>
          <w:sz w:val="24"/>
          <w:szCs w:val="24"/>
        </w:rPr>
        <w:t xml:space="preserve"> Cimabue, </w:t>
      </w:r>
      <w:proofErr w:type="spellStart"/>
      <w:r w:rsidRPr="00C93C2D"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 w:rsidRPr="00C93C2D">
        <w:rPr>
          <w:rFonts w:ascii="Times New Roman" w:hAnsi="Times New Roman" w:cs="Times New Roman"/>
          <w:i/>
          <w:sz w:val="24"/>
          <w:szCs w:val="24"/>
        </w:rPr>
        <w:t xml:space="preserve"> Giotto und </w:t>
      </w:r>
      <w:proofErr w:type="spellStart"/>
      <w:r w:rsidRPr="00C93C2D"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 w:rsidRPr="00C93C2D">
        <w:rPr>
          <w:rFonts w:ascii="Times New Roman" w:hAnsi="Times New Roman" w:cs="Times New Roman"/>
          <w:i/>
          <w:sz w:val="24"/>
          <w:szCs w:val="24"/>
        </w:rPr>
        <w:t xml:space="preserve"> Pietro Cavallini. </w:t>
      </w:r>
      <w:proofErr w:type="spellStart"/>
      <w:r w:rsidRPr="00C93C2D">
        <w:rPr>
          <w:rFonts w:ascii="Times New Roman" w:hAnsi="Times New Roman" w:cs="Times New Roman"/>
          <w:i/>
          <w:sz w:val="24"/>
          <w:szCs w:val="24"/>
        </w:rPr>
        <w:t>Neu</w:t>
      </w:r>
      <w:proofErr w:type="spellEnd"/>
      <w:r w:rsidRPr="00C93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3C2D">
        <w:rPr>
          <w:rFonts w:ascii="Times New Roman" w:hAnsi="Times New Roman" w:cs="Times New Roman"/>
          <w:i/>
          <w:sz w:val="24"/>
          <w:szCs w:val="24"/>
        </w:rPr>
        <w:t>uebersetzt</w:t>
      </w:r>
      <w:proofErr w:type="spellEnd"/>
      <w:r w:rsidRPr="00C93C2D">
        <w:rPr>
          <w:rFonts w:ascii="Times New Roman" w:hAnsi="Times New Roman" w:cs="Times New Roman"/>
          <w:i/>
          <w:sz w:val="24"/>
          <w:szCs w:val="24"/>
        </w:rPr>
        <w:t xml:space="preserve"> und </w:t>
      </w:r>
      <w:proofErr w:type="spellStart"/>
      <w:r w:rsidRPr="00C93C2D">
        <w:rPr>
          <w:rFonts w:ascii="Times New Roman" w:hAnsi="Times New Roman" w:cs="Times New Roman"/>
          <w:i/>
          <w:sz w:val="24"/>
          <w:szCs w:val="24"/>
        </w:rPr>
        <w:t>kommentiert</w:t>
      </w:r>
      <w:proofErr w:type="spellEnd"/>
      <w:r w:rsidRPr="00606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910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60691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6910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606910">
        <w:rPr>
          <w:rFonts w:ascii="Times New Roman" w:hAnsi="Times New Roman" w:cs="Times New Roman"/>
          <w:sz w:val="24"/>
          <w:szCs w:val="24"/>
        </w:rPr>
        <w:t xml:space="preserve"> Klaus </w:t>
      </w:r>
      <w:proofErr w:type="spellStart"/>
      <w:r w:rsidRPr="00606910">
        <w:rPr>
          <w:rFonts w:ascii="Times New Roman" w:hAnsi="Times New Roman" w:cs="Times New Roman"/>
          <w:sz w:val="24"/>
          <w:szCs w:val="24"/>
        </w:rPr>
        <w:t>Wagenbach</w:t>
      </w:r>
      <w:proofErr w:type="spellEnd"/>
      <w:r w:rsidRPr="00606910">
        <w:rPr>
          <w:rFonts w:ascii="Times New Roman" w:hAnsi="Times New Roman" w:cs="Times New Roman"/>
          <w:sz w:val="24"/>
          <w:szCs w:val="24"/>
        </w:rPr>
        <w:t xml:space="preserve">, 2015. Si tratta di </w:t>
      </w:r>
      <w:r w:rsidRPr="00606910">
        <w:rPr>
          <w:rFonts w:ascii="Times New Roman" w:hAnsi="Times New Roman" w:cs="Times New Roman"/>
          <w:bCs/>
          <w:sz w:val="24"/>
          <w:szCs w:val="24"/>
        </w:rPr>
        <w:t xml:space="preserve">una serie di 45 volumi </w:t>
      </w:r>
      <w:r w:rsidRPr="00606910">
        <w:rPr>
          <w:rFonts w:ascii="Times New Roman" w:hAnsi="Times New Roman" w:cs="Times New Roman"/>
          <w:sz w:val="24"/>
          <w:szCs w:val="24"/>
        </w:rPr>
        <w:t>(2004-2015) a cura di Alessandro Nova e altri.</w:t>
      </w:r>
      <w:r w:rsidR="00C93C2D">
        <w:rPr>
          <w:rFonts w:ascii="Times New Roman" w:hAnsi="Times New Roman" w:cs="Times New Roman"/>
          <w:sz w:val="24"/>
          <w:szCs w:val="24"/>
        </w:rPr>
        <w:t xml:space="preserve"> </w:t>
      </w:r>
      <w:r w:rsidR="00C93C2D" w:rsidRPr="00C93C2D">
        <w:rPr>
          <w:rFonts w:ascii="Times New Roman" w:hAnsi="Times New Roman" w:cs="Times New Roman"/>
          <w:b/>
          <w:sz w:val="24"/>
          <w:szCs w:val="24"/>
        </w:rPr>
        <w:t xml:space="preserve">(questo volume, purtroppo in tedesco, è utilissimo per </w:t>
      </w:r>
      <w:r w:rsidR="00C93C2D">
        <w:rPr>
          <w:rFonts w:ascii="Times New Roman" w:hAnsi="Times New Roman" w:cs="Times New Roman"/>
          <w:b/>
          <w:sz w:val="24"/>
          <w:szCs w:val="24"/>
        </w:rPr>
        <w:t>l</w:t>
      </w:r>
      <w:r w:rsidR="00C93C2D" w:rsidRPr="00C93C2D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C93C2D">
        <w:rPr>
          <w:rFonts w:ascii="Times New Roman" w:hAnsi="Times New Roman" w:cs="Times New Roman"/>
          <w:b/>
          <w:sz w:val="24"/>
          <w:szCs w:val="24"/>
        </w:rPr>
        <w:t>“</w:t>
      </w:r>
      <w:r w:rsidR="00C93C2D" w:rsidRPr="00C93C2D">
        <w:rPr>
          <w:rFonts w:ascii="Times New Roman" w:hAnsi="Times New Roman" w:cs="Times New Roman"/>
          <w:b/>
          <w:sz w:val="24"/>
          <w:szCs w:val="24"/>
        </w:rPr>
        <w:t>Vite</w:t>
      </w:r>
      <w:r w:rsidR="00C93C2D">
        <w:rPr>
          <w:rFonts w:ascii="Times New Roman" w:hAnsi="Times New Roman" w:cs="Times New Roman"/>
          <w:b/>
          <w:sz w:val="24"/>
          <w:szCs w:val="24"/>
        </w:rPr>
        <w:t>”</w:t>
      </w:r>
      <w:r w:rsidR="00C93C2D" w:rsidRPr="00C93C2D">
        <w:rPr>
          <w:rFonts w:ascii="Times New Roman" w:hAnsi="Times New Roman" w:cs="Times New Roman"/>
          <w:b/>
          <w:sz w:val="24"/>
          <w:szCs w:val="24"/>
        </w:rPr>
        <w:t xml:space="preserve"> di Cimabue e Giotto discusse a lezione)</w:t>
      </w:r>
    </w:p>
    <w:p w:rsidR="00D20670" w:rsidRDefault="00D20670" w:rsidP="00CC2C43">
      <w:pPr>
        <w:rPr>
          <w:rFonts w:ascii="Times New Roman" w:hAnsi="Times New Roman" w:cs="Times New Roman"/>
          <w:b/>
          <w:sz w:val="28"/>
          <w:szCs w:val="28"/>
        </w:rPr>
      </w:pPr>
    </w:p>
    <w:p w:rsidR="00606910" w:rsidRPr="00C93C2D" w:rsidRDefault="00C93C2D" w:rsidP="00CC2C43">
      <w:pPr>
        <w:rPr>
          <w:rFonts w:ascii="Times New Roman" w:hAnsi="Times New Roman" w:cs="Times New Roman"/>
          <w:b/>
          <w:sz w:val="28"/>
          <w:szCs w:val="28"/>
        </w:rPr>
      </w:pPr>
      <w:r w:rsidRPr="00C93C2D">
        <w:rPr>
          <w:rFonts w:ascii="Times New Roman" w:hAnsi="Times New Roman" w:cs="Times New Roman"/>
          <w:b/>
          <w:sz w:val="28"/>
          <w:szCs w:val="28"/>
        </w:rPr>
        <w:t>Su Vasari:</w:t>
      </w:r>
    </w:p>
    <w:p w:rsidR="00000000" w:rsidRPr="00CC2C43" w:rsidRDefault="00CB185F" w:rsidP="00CC2C43">
      <w:pPr>
        <w:rPr>
          <w:rFonts w:ascii="Times New Roman" w:hAnsi="Times New Roman" w:cs="Times New Roman"/>
          <w:sz w:val="24"/>
          <w:szCs w:val="24"/>
        </w:rPr>
      </w:pPr>
      <w:r w:rsidRPr="00CC2C43">
        <w:rPr>
          <w:rFonts w:ascii="Times New Roman" w:hAnsi="Times New Roman" w:cs="Times New Roman"/>
          <w:sz w:val="24"/>
          <w:szCs w:val="24"/>
        </w:rPr>
        <w:t xml:space="preserve">Barbara Agosti, </w:t>
      </w:r>
      <w:r w:rsidRPr="00CC2C43">
        <w:rPr>
          <w:rFonts w:ascii="Times New Roman" w:hAnsi="Times New Roman" w:cs="Times New Roman"/>
          <w:i/>
          <w:iCs/>
          <w:sz w:val="24"/>
          <w:szCs w:val="24"/>
        </w:rPr>
        <w:t xml:space="preserve">Giorgio </w:t>
      </w:r>
      <w:r w:rsidRPr="00CC2C43">
        <w:rPr>
          <w:rFonts w:ascii="Times New Roman" w:hAnsi="Times New Roman" w:cs="Times New Roman"/>
          <w:i/>
          <w:iCs/>
          <w:sz w:val="24"/>
          <w:szCs w:val="24"/>
        </w:rPr>
        <w:t>Vasari. Luoghi e tempi delle Vite</w:t>
      </w:r>
      <w:r w:rsidRPr="00CC2C43">
        <w:rPr>
          <w:rFonts w:ascii="Times New Roman" w:hAnsi="Times New Roman" w:cs="Times New Roman"/>
          <w:sz w:val="24"/>
          <w:szCs w:val="24"/>
        </w:rPr>
        <w:t>, Milano: Officina Libraria, 2013</w:t>
      </w:r>
    </w:p>
    <w:p w:rsidR="00000000" w:rsidRDefault="00CB185F" w:rsidP="00CC2C43">
      <w:pPr>
        <w:rPr>
          <w:rFonts w:ascii="Times New Roman" w:hAnsi="Times New Roman" w:cs="Times New Roman"/>
          <w:b/>
          <w:sz w:val="24"/>
          <w:szCs w:val="24"/>
        </w:rPr>
      </w:pPr>
      <w:r w:rsidRPr="00CC2C43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Pr="00CC2C43">
        <w:rPr>
          <w:rFonts w:ascii="Times New Roman" w:hAnsi="Times New Roman" w:cs="Times New Roman"/>
          <w:sz w:val="24"/>
          <w:szCs w:val="24"/>
        </w:rPr>
        <w:t>Frangenberg</w:t>
      </w:r>
      <w:proofErr w:type="spellEnd"/>
      <w:r w:rsidRPr="00CC2C43">
        <w:rPr>
          <w:rFonts w:ascii="Times New Roman" w:hAnsi="Times New Roman" w:cs="Times New Roman"/>
          <w:sz w:val="24"/>
          <w:szCs w:val="24"/>
        </w:rPr>
        <w:t xml:space="preserve">, recensione a al libro di Barbara Agosti (vedi sopra) e a </w:t>
      </w:r>
      <w:r w:rsidRPr="00CC2C43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CC2C43">
        <w:rPr>
          <w:rFonts w:ascii="Times New Roman" w:hAnsi="Times New Roman" w:cs="Times New Roman"/>
          <w:i/>
          <w:iCs/>
          <w:sz w:val="24"/>
          <w:szCs w:val="24"/>
        </w:rPr>
        <w:t>Ashgate</w:t>
      </w:r>
      <w:proofErr w:type="spellEnd"/>
      <w:r w:rsidRPr="00CC2C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2C43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CC2C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2C43">
        <w:rPr>
          <w:rFonts w:ascii="Times New Roman" w:hAnsi="Times New Roman" w:cs="Times New Roman"/>
          <w:i/>
          <w:iCs/>
          <w:sz w:val="24"/>
          <w:szCs w:val="24"/>
        </w:rPr>
        <w:t>Companion</w:t>
      </w:r>
      <w:proofErr w:type="spellEnd"/>
      <w:r w:rsidRPr="00CC2C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2C43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CC2C43">
        <w:rPr>
          <w:rFonts w:ascii="Times New Roman" w:hAnsi="Times New Roman" w:cs="Times New Roman"/>
          <w:i/>
          <w:iCs/>
          <w:sz w:val="24"/>
          <w:szCs w:val="24"/>
        </w:rPr>
        <w:t xml:space="preserve"> Giorgio Vasari</w:t>
      </w:r>
      <w:r w:rsidRPr="00CC2C43">
        <w:rPr>
          <w:rFonts w:ascii="Times New Roman" w:hAnsi="Times New Roman" w:cs="Times New Roman"/>
          <w:sz w:val="24"/>
          <w:szCs w:val="24"/>
        </w:rPr>
        <w:t xml:space="preserve"> in </w:t>
      </w:r>
      <w:r w:rsidRPr="00CC2C43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CC2C43">
        <w:rPr>
          <w:rFonts w:ascii="Times New Roman" w:hAnsi="Times New Roman" w:cs="Times New Roman"/>
          <w:i/>
          <w:iCs/>
          <w:sz w:val="24"/>
          <w:szCs w:val="24"/>
        </w:rPr>
        <w:t>Burlington</w:t>
      </w:r>
      <w:proofErr w:type="spellEnd"/>
      <w:r w:rsidRPr="00CC2C43">
        <w:rPr>
          <w:rFonts w:ascii="Times New Roman" w:hAnsi="Times New Roman" w:cs="Times New Roman"/>
          <w:i/>
          <w:iCs/>
          <w:sz w:val="24"/>
          <w:szCs w:val="24"/>
        </w:rPr>
        <w:t xml:space="preserve"> Magazine</w:t>
      </w:r>
      <w:r w:rsidRPr="00CC2C43">
        <w:rPr>
          <w:rFonts w:ascii="Times New Roman" w:hAnsi="Times New Roman" w:cs="Times New Roman"/>
          <w:sz w:val="24"/>
          <w:szCs w:val="24"/>
        </w:rPr>
        <w:t>, CLVII, Marzo 2015, pp. 196-197</w:t>
      </w:r>
      <w:r w:rsidR="00832ACB" w:rsidRPr="00832AC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32ACB" w:rsidRPr="00FE2630">
        <w:rPr>
          <w:rFonts w:ascii="Times New Roman" w:hAnsi="Times New Roman" w:cs="Times New Roman"/>
          <w:b/>
          <w:sz w:val="24"/>
          <w:szCs w:val="24"/>
          <w:highlight w:val="yellow"/>
        </w:rPr>
        <w:t>TESTO DISPONIBILE IN SCANSIONE</w:t>
      </w:r>
    </w:p>
    <w:p w:rsidR="00832ACB" w:rsidRPr="00BF124A" w:rsidRDefault="00832ACB" w:rsidP="00CC2C43">
      <w:pPr>
        <w:rPr>
          <w:rFonts w:ascii="Times New Roman" w:hAnsi="Times New Roman" w:cs="Times New Roman"/>
          <w:sz w:val="24"/>
          <w:szCs w:val="24"/>
        </w:rPr>
      </w:pPr>
      <w:r w:rsidRPr="00BF124A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Pr="00BF124A">
        <w:rPr>
          <w:rFonts w:ascii="Times New Roman" w:hAnsi="Times New Roman" w:cs="Times New Roman"/>
          <w:sz w:val="24"/>
          <w:szCs w:val="24"/>
        </w:rPr>
        <w:t>Frangenberg</w:t>
      </w:r>
      <w:proofErr w:type="spellEnd"/>
      <w:r w:rsidRPr="00BF124A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BF124A">
        <w:rPr>
          <w:rFonts w:ascii="Times New Roman" w:hAnsi="Times New Roman" w:cs="Times New Roman"/>
          <w:sz w:val="24"/>
          <w:szCs w:val="24"/>
        </w:rPr>
        <w:t>Bartoli</w:t>
      </w:r>
      <w:proofErr w:type="spellEnd"/>
      <w:r w:rsidRPr="00BF1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24A">
        <w:rPr>
          <w:rFonts w:ascii="Times New Roman" w:hAnsi="Times New Roman" w:cs="Times New Roman"/>
          <w:sz w:val="24"/>
          <w:szCs w:val="24"/>
        </w:rPr>
        <w:t>Giambullari</w:t>
      </w:r>
      <w:proofErr w:type="spellEnd"/>
      <w:r w:rsidRPr="00BF124A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BF124A">
        <w:rPr>
          <w:rFonts w:ascii="Times New Roman" w:hAnsi="Times New Roman" w:cs="Times New Roman"/>
          <w:sz w:val="24"/>
          <w:szCs w:val="24"/>
        </w:rPr>
        <w:t>Prefaces</w:t>
      </w:r>
      <w:proofErr w:type="spellEnd"/>
      <w:r w:rsidRPr="00BF1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24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F1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24A">
        <w:rPr>
          <w:rFonts w:ascii="Times New Roman" w:hAnsi="Times New Roman" w:cs="Times New Roman"/>
          <w:sz w:val="24"/>
          <w:szCs w:val="24"/>
        </w:rPr>
        <w:t>Vasari’s</w:t>
      </w:r>
      <w:proofErr w:type="spellEnd"/>
      <w:r w:rsidRPr="00BF1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24A">
        <w:rPr>
          <w:rFonts w:ascii="Times New Roman" w:hAnsi="Times New Roman" w:cs="Times New Roman"/>
          <w:i/>
          <w:sz w:val="24"/>
          <w:szCs w:val="24"/>
        </w:rPr>
        <w:t>Lives</w:t>
      </w:r>
      <w:proofErr w:type="spellEnd"/>
      <w:r w:rsidRPr="00BF124A">
        <w:rPr>
          <w:rFonts w:ascii="Times New Roman" w:hAnsi="Times New Roman" w:cs="Times New Roman"/>
          <w:sz w:val="24"/>
          <w:szCs w:val="24"/>
        </w:rPr>
        <w:t xml:space="preserve"> (1550)”, </w:t>
      </w:r>
      <w:r w:rsidR="00BF124A" w:rsidRPr="00BF124A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proofErr w:type="spellStart"/>
      <w:r w:rsidR="00BF124A" w:rsidRPr="00BF124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BF124A" w:rsidRPr="00BF124A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="00BF124A" w:rsidRPr="00BF124A">
        <w:rPr>
          <w:rFonts w:ascii="Times New Roman" w:hAnsi="Times New Roman" w:cs="Times New Roman"/>
          <w:i/>
          <w:sz w:val="24"/>
          <w:szCs w:val="24"/>
        </w:rPr>
        <w:t>Warburg</w:t>
      </w:r>
      <w:proofErr w:type="spellEnd"/>
      <w:r w:rsidR="00BF124A" w:rsidRPr="00BF124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BF124A" w:rsidRPr="00BF124A">
        <w:rPr>
          <w:rFonts w:ascii="Times New Roman" w:hAnsi="Times New Roman" w:cs="Times New Roman"/>
          <w:i/>
          <w:sz w:val="24"/>
          <w:szCs w:val="24"/>
        </w:rPr>
        <w:t>Courtauld</w:t>
      </w:r>
      <w:proofErr w:type="spellEnd"/>
      <w:r w:rsidR="00BF124A" w:rsidRPr="00BF12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124A" w:rsidRPr="00BF124A">
        <w:rPr>
          <w:rFonts w:ascii="Times New Roman" w:hAnsi="Times New Roman" w:cs="Times New Roman"/>
          <w:i/>
          <w:sz w:val="24"/>
          <w:szCs w:val="24"/>
        </w:rPr>
        <w:t>Institutes</w:t>
      </w:r>
      <w:proofErr w:type="spellEnd"/>
      <w:r w:rsidR="00BF124A" w:rsidRPr="00BF124A">
        <w:rPr>
          <w:rFonts w:ascii="Times New Roman" w:hAnsi="Times New Roman" w:cs="Times New Roman"/>
          <w:sz w:val="24"/>
          <w:szCs w:val="24"/>
        </w:rPr>
        <w:t xml:space="preserve">, LXV, 2002, pp. 244-258 </w:t>
      </w:r>
      <w:r w:rsidR="00BF124A" w:rsidRPr="00BF124A">
        <w:rPr>
          <w:rFonts w:ascii="Times New Roman" w:hAnsi="Times New Roman" w:cs="Times New Roman"/>
          <w:b/>
          <w:sz w:val="24"/>
          <w:szCs w:val="24"/>
        </w:rPr>
        <w:t>(</w:t>
      </w:r>
      <w:r w:rsidR="00BF124A">
        <w:rPr>
          <w:rFonts w:ascii="Times New Roman" w:hAnsi="Times New Roman" w:cs="Times New Roman"/>
          <w:b/>
          <w:sz w:val="24"/>
          <w:szCs w:val="24"/>
        </w:rPr>
        <w:t xml:space="preserve">solo </w:t>
      </w:r>
      <w:r w:rsidR="00BF124A" w:rsidRPr="00BF124A">
        <w:rPr>
          <w:rFonts w:ascii="Times New Roman" w:hAnsi="Times New Roman" w:cs="Times New Roman"/>
          <w:b/>
          <w:sz w:val="24"/>
          <w:szCs w:val="24"/>
        </w:rPr>
        <w:t xml:space="preserve">per chi volesse approfondire il discorso sull’autografia delle </w:t>
      </w:r>
      <w:r w:rsidR="00BF124A" w:rsidRPr="00BF124A">
        <w:rPr>
          <w:rFonts w:ascii="Times New Roman" w:hAnsi="Times New Roman" w:cs="Times New Roman"/>
          <w:b/>
          <w:i/>
          <w:sz w:val="24"/>
          <w:szCs w:val="24"/>
        </w:rPr>
        <w:t>Vite</w:t>
      </w:r>
      <w:r w:rsidR="00BF124A" w:rsidRPr="00BF124A">
        <w:rPr>
          <w:rFonts w:ascii="Times New Roman" w:hAnsi="Times New Roman" w:cs="Times New Roman"/>
          <w:b/>
          <w:sz w:val="24"/>
          <w:szCs w:val="24"/>
        </w:rPr>
        <w:t>)</w:t>
      </w:r>
      <w:r w:rsidR="00BF124A" w:rsidRPr="00BF124A">
        <w:rPr>
          <w:rFonts w:ascii="Times New Roman" w:hAnsi="Times New Roman" w:cs="Times New Roman"/>
          <w:sz w:val="24"/>
          <w:szCs w:val="24"/>
        </w:rPr>
        <w:t xml:space="preserve"> </w:t>
      </w:r>
      <w:r w:rsidRPr="00BF124A">
        <w:rPr>
          <w:rFonts w:ascii="Times New Roman" w:hAnsi="Times New Roman" w:cs="Times New Roman"/>
          <w:b/>
          <w:sz w:val="24"/>
          <w:szCs w:val="24"/>
          <w:highlight w:val="yellow"/>
        </w:rPr>
        <w:t>TESTO DISPONIBILE IN SCANSIONE</w:t>
      </w:r>
    </w:p>
    <w:p w:rsidR="00FE2630" w:rsidRDefault="00FE2630" w:rsidP="00FE2630">
      <w:pPr>
        <w:rPr>
          <w:rFonts w:ascii="Times New Roman" w:hAnsi="Times New Roman" w:cs="Times New Roman"/>
          <w:b/>
          <w:sz w:val="24"/>
          <w:szCs w:val="24"/>
        </w:rPr>
      </w:pPr>
      <w:r w:rsidRPr="00FE2630">
        <w:rPr>
          <w:rFonts w:ascii="Times New Roman" w:hAnsi="Times New Roman" w:cs="Times New Roman"/>
          <w:sz w:val="24"/>
          <w:szCs w:val="24"/>
        </w:rPr>
        <w:t xml:space="preserve">Barbara Forti, «Vasari e la </w:t>
      </w:r>
      <w:proofErr w:type="spellStart"/>
      <w:r w:rsidRPr="00FE2630">
        <w:rPr>
          <w:rFonts w:ascii="Times New Roman" w:hAnsi="Times New Roman" w:cs="Times New Roman"/>
          <w:i/>
          <w:iCs/>
          <w:sz w:val="24"/>
          <w:szCs w:val="24"/>
        </w:rPr>
        <w:t>ruina</w:t>
      </w:r>
      <w:proofErr w:type="spellEnd"/>
      <w:r w:rsidRPr="00FE2630">
        <w:rPr>
          <w:rFonts w:ascii="Times New Roman" w:hAnsi="Times New Roman" w:cs="Times New Roman"/>
          <w:i/>
          <w:iCs/>
          <w:sz w:val="24"/>
          <w:szCs w:val="24"/>
        </w:rPr>
        <w:t xml:space="preserve"> estrema </w:t>
      </w:r>
      <w:r w:rsidRPr="00FE2630">
        <w:rPr>
          <w:rFonts w:ascii="Times New Roman" w:hAnsi="Times New Roman" w:cs="Times New Roman"/>
          <w:sz w:val="24"/>
          <w:szCs w:val="24"/>
        </w:rPr>
        <w:t xml:space="preserve">del Medioevo: genesi e sviluppi di un’idea», </w:t>
      </w:r>
      <w:r w:rsidRPr="00FE2630">
        <w:rPr>
          <w:rFonts w:ascii="Times New Roman" w:hAnsi="Times New Roman" w:cs="Times New Roman"/>
          <w:i/>
          <w:iCs/>
          <w:sz w:val="24"/>
          <w:szCs w:val="24"/>
        </w:rPr>
        <w:t>Arte medievale</w:t>
      </w:r>
      <w:r w:rsidRPr="00FE2630">
        <w:rPr>
          <w:rFonts w:ascii="Times New Roman" w:hAnsi="Times New Roman" w:cs="Times New Roman"/>
          <w:sz w:val="24"/>
          <w:szCs w:val="24"/>
        </w:rPr>
        <w:t>, IV serie, 4 (2014), pp. 231-252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630">
        <w:rPr>
          <w:rFonts w:ascii="Times New Roman" w:hAnsi="Times New Roman" w:cs="Times New Roman"/>
          <w:b/>
          <w:sz w:val="24"/>
          <w:szCs w:val="24"/>
          <w:highlight w:val="yellow"/>
        </w:rPr>
        <w:t>TESTO DISPONIBILE IN SCANSIONE</w:t>
      </w:r>
    </w:p>
    <w:p w:rsidR="006942F1" w:rsidRPr="006942F1" w:rsidRDefault="006942F1" w:rsidP="00FE2630">
      <w:pPr>
        <w:rPr>
          <w:rFonts w:ascii="Times New Roman" w:hAnsi="Times New Roman" w:cs="Times New Roman"/>
          <w:b/>
          <w:sz w:val="24"/>
          <w:szCs w:val="24"/>
        </w:rPr>
      </w:pPr>
      <w:r w:rsidRPr="006942F1">
        <w:rPr>
          <w:rFonts w:ascii="Times New Roman" w:hAnsi="Times New Roman" w:cs="Times New Roman"/>
          <w:sz w:val="24"/>
          <w:szCs w:val="24"/>
        </w:rPr>
        <w:t xml:space="preserve">Charles </w:t>
      </w:r>
      <w:proofErr w:type="spellStart"/>
      <w:r w:rsidRPr="006942F1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6942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Vasari’s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2F1">
        <w:rPr>
          <w:rFonts w:ascii="Times New Roman" w:hAnsi="Times New Roman" w:cs="Times New Roman"/>
          <w:i/>
          <w:sz w:val="24"/>
          <w:szCs w:val="24"/>
        </w:rPr>
        <w:t>Vite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Collaborative Project”, in </w:t>
      </w:r>
      <w:r w:rsidRPr="00C8058B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C8058B">
        <w:rPr>
          <w:rFonts w:ascii="Times New Roman" w:hAnsi="Times New Roman" w:cs="Times New Roman"/>
          <w:i/>
          <w:iCs/>
          <w:sz w:val="24"/>
          <w:szCs w:val="24"/>
        </w:rPr>
        <w:t>Ashgate</w:t>
      </w:r>
      <w:proofErr w:type="spellEnd"/>
      <w:r w:rsidRPr="00C805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058B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C805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058B">
        <w:rPr>
          <w:rFonts w:ascii="Times New Roman" w:hAnsi="Times New Roman" w:cs="Times New Roman"/>
          <w:i/>
          <w:iCs/>
          <w:sz w:val="24"/>
          <w:szCs w:val="24"/>
        </w:rPr>
        <w:t>Companion</w:t>
      </w:r>
      <w:proofErr w:type="spellEnd"/>
      <w:r w:rsidRPr="00C805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058B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C8058B">
        <w:rPr>
          <w:rFonts w:ascii="Times New Roman" w:hAnsi="Times New Roman" w:cs="Times New Roman"/>
          <w:i/>
          <w:iCs/>
          <w:sz w:val="24"/>
          <w:szCs w:val="24"/>
        </w:rPr>
        <w:t xml:space="preserve"> Giorgio Vasari </w:t>
      </w:r>
      <w:r w:rsidRPr="00C8058B">
        <w:rPr>
          <w:rFonts w:ascii="Times New Roman" w:hAnsi="Times New Roman" w:cs="Times New Roman"/>
          <w:sz w:val="24"/>
          <w:szCs w:val="24"/>
        </w:rPr>
        <w:t>, a cura di David J. Cast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Farnham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Ashgate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2014, pp. 11-21 </w:t>
      </w:r>
      <w:r w:rsidRPr="00FE2630">
        <w:rPr>
          <w:rFonts w:ascii="Times New Roman" w:hAnsi="Times New Roman" w:cs="Times New Roman"/>
          <w:b/>
          <w:sz w:val="24"/>
          <w:szCs w:val="24"/>
          <w:highlight w:val="yellow"/>
        </w:rPr>
        <w:t>TESTO DISPONIBILE IN SCANSIONE</w:t>
      </w:r>
    </w:p>
    <w:p w:rsidR="00C8058B" w:rsidRDefault="00C8058B" w:rsidP="00C8058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Normand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</w:t>
      </w:r>
      <w:proofErr w:type="spellEnd"/>
      <w:r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Vasari’s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Giotto”</w:t>
      </w:r>
      <w:r w:rsidR="004717E7">
        <w:rPr>
          <w:rFonts w:ascii="Times New Roman" w:hAnsi="Times New Roman" w:cs="Times New Roman"/>
          <w:sz w:val="24"/>
          <w:szCs w:val="24"/>
        </w:rPr>
        <w:t>,</w:t>
      </w:r>
      <w:r w:rsidR="00CB185F" w:rsidRPr="00C8058B">
        <w:rPr>
          <w:rFonts w:ascii="Times New Roman" w:hAnsi="Times New Roman" w:cs="Times New Roman"/>
          <w:sz w:val="24"/>
          <w:szCs w:val="24"/>
        </w:rPr>
        <w:t xml:space="preserve"> in </w:t>
      </w:r>
      <w:r w:rsidR="00CB185F" w:rsidRPr="00C8058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B185F" w:rsidRPr="00C8058B">
        <w:rPr>
          <w:rFonts w:ascii="Times New Roman" w:hAnsi="Times New Roman" w:cs="Times New Roman"/>
          <w:i/>
          <w:iCs/>
          <w:sz w:val="24"/>
          <w:szCs w:val="24"/>
        </w:rPr>
        <w:t xml:space="preserve">he </w:t>
      </w:r>
      <w:proofErr w:type="spellStart"/>
      <w:r w:rsidR="00CB185F" w:rsidRPr="00C8058B">
        <w:rPr>
          <w:rFonts w:ascii="Times New Roman" w:hAnsi="Times New Roman" w:cs="Times New Roman"/>
          <w:i/>
          <w:iCs/>
          <w:sz w:val="24"/>
          <w:szCs w:val="24"/>
        </w:rPr>
        <w:t>Ashgate</w:t>
      </w:r>
      <w:proofErr w:type="spellEnd"/>
      <w:r w:rsidR="00CB185F" w:rsidRPr="00C805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B185F" w:rsidRPr="00C8058B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="00CB185F" w:rsidRPr="00C805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B185F" w:rsidRPr="00C8058B">
        <w:rPr>
          <w:rFonts w:ascii="Times New Roman" w:hAnsi="Times New Roman" w:cs="Times New Roman"/>
          <w:i/>
          <w:iCs/>
          <w:sz w:val="24"/>
          <w:szCs w:val="24"/>
        </w:rPr>
        <w:t>Companion</w:t>
      </w:r>
      <w:proofErr w:type="spellEnd"/>
      <w:r w:rsidR="00CB185F" w:rsidRPr="00C805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B185F" w:rsidRPr="00C8058B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="00CB185F" w:rsidRPr="00C8058B">
        <w:rPr>
          <w:rFonts w:ascii="Times New Roman" w:hAnsi="Times New Roman" w:cs="Times New Roman"/>
          <w:i/>
          <w:iCs/>
          <w:sz w:val="24"/>
          <w:szCs w:val="24"/>
        </w:rPr>
        <w:t xml:space="preserve"> Giorgio Vasari </w:t>
      </w:r>
      <w:r w:rsidR="00CB185F" w:rsidRPr="00C8058B">
        <w:rPr>
          <w:rFonts w:ascii="Times New Roman" w:hAnsi="Times New Roman" w:cs="Times New Roman"/>
          <w:sz w:val="24"/>
          <w:szCs w:val="24"/>
        </w:rPr>
        <w:t xml:space="preserve">, a cura di David J. Cast, </w:t>
      </w:r>
      <w:proofErr w:type="spellStart"/>
      <w:r w:rsidR="00CB185F" w:rsidRPr="00C8058B">
        <w:rPr>
          <w:rFonts w:ascii="Times New Roman" w:hAnsi="Times New Roman" w:cs="Times New Roman"/>
          <w:sz w:val="24"/>
          <w:szCs w:val="24"/>
        </w:rPr>
        <w:t>Farnham</w:t>
      </w:r>
      <w:proofErr w:type="spellEnd"/>
      <w:r w:rsidR="00CB185F" w:rsidRPr="00C805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B185F" w:rsidRPr="00C8058B">
        <w:rPr>
          <w:rFonts w:ascii="Times New Roman" w:hAnsi="Times New Roman" w:cs="Times New Roman"/>
          <w:sz w:val="24"/>
          <w:szCs w:val="24"/>
        </w:rPr>
        <w:t>Ashgate</w:t>
      </w:r>
      <w:proofErr w:type="spellEnd"/>
      <w:r w:rsidR="00CB185F" w:rsidRPr="00C8058B">
        <w:rPr>
          <w:rFonts w:ascii="Times New Roman" w:hAnsi="Times New Roman" w:cs="Times New Roman"/>
          <w:sz w:val="24"/>
          <w:szCs w:val="24"/>
        </w:rPr>
        <w:t>, 2014, pp. 77-89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630">
        <w:rPr>
          <w:rFonts w:ascii="Times New Roman" w:hAnsi="Times New Roman" w:cs="Times New Roman"/>
          <w:b/>
          <w:sz w:val="24"/>
          <w:szCs w:val="24"/>
          <w:highlight w:val="yellow"/>
        </w:rPr>
        <w:t>TESTO DISPONIBILE IN SCANSIONE</w:t>
      </w:r>
    </w:p>
    <w:p w:rsidR="00000000" w:rsidRDefault="00CB185F" w:rsidP="00CC2C4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C2C43">
        <w:rPr>
          <w:rFonts w:ascii="Times New Roman" w:hAnsi="Times New Roman" w:cs="Times New Roman"/>
          <w:sz w:val="24"/>
          <w:szCs w:val="24"/>
        </w:rPr>
        <w:t xml:space="preserve">Alessandro Nova, </w:t>
      </w:r>
      <w:r w:rsidRPr="00CC2C43">
        <w:rPr>
          <w:rFonts w:ascii="Times New Roman" w:hAnsi="Times New Roman" w:cs="Times New Roman"/>
          <w:sz w:val="24"/>
          <w:szCs w:val="24"/>
        </w:rPr>
        <w:t>“</w:t>
      </w:r>
      <w:r w:rsidRPr="00CC2C43">
        <w:rPr>
          <w:rFonts w:ascii="Times New Roman" w:hAnsi="Times New Roman" w:cs="Times New Roman"/>
          <w:sz w:val="24"/>
          <w:szCs w:val="24"/>
        </w:rPr>
        <w:t xml:space="preserve">«Vasari» versus Vasari. </w:t>
      </w:r>
      <w:r w:rsidRPr="00CC2C43">
        <w:rPr>
          <w:rFonts w:ascii="Times New Roman" w:hAnsi="Times New Roman" w:cs="Times New Roman"/>
          <w:sz w:val="24"/>
          <w:szCs w:val="24"/>
          <w:lang w:val="de-DE"/>
        </w:rPr>
        <w:t xml:space="preserve">La </w:t>
      </w:r>
      <w:proofErr w:type="spellStart"/>
      <w:r w:rsidRPr="00CC2C43">
        <w:rPr>
          <w:rFonts w:ascii="Times New Roman" w:hAnsi="Times New Roman" w:cs="Times New Roman"/>
          <w:sz w:val="24"/>
          <w:szCs w:val="24"/>
          <w:lang w:val="de-DE"/>
        </w:rPr>
        <w:t>duplice</w:t>
      </w:r>
      <w:proofErr w:type="spellEnd"/>
      <w:r w:rsidRPr="00CC2C4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C2C43">
        <w:rPr>
          <w:rFonts w:ascii="Times New Roman" w:hAnsi="Times New Roman" w:cs="Times New Roman"/>
          <w:sz w:val="24"/>
          <w:szCs w:val="24"/>
          <w:lang w:val="de-DE"/>
        </w:rPr>
        <w:t>attualità</w:t>
      </w:r>
      <w:proofErr w:type="spellEnd"/>
      <w:r w:rsidRPr="00CC2C43">
        <w:rPr>
          <w:rFonts w:ascii="Times New Roman" w:hAnsi="Times New Roman" w:cs="Times New Roman"/>
          <w:sz w:val="24"/>
          <w:szCs w:val="24"/>
          <w:lang w:val="de-DE"/>
        </w:rPr>
        <w:t xml:space="preserve"> delle </w:t>
      </w:r>
      <w:r w:rsidRPr="00CC2C43">
        <w:rPr>
          <w:rFonts w:ascii="Times New Roman" w:hAnsi="Times New Roman" w:cs="Times New Roman"/>
          <w:i/>
          <w:iCs/>
          <w:sz w:val="24"/>
          <w:szCs w:val="24"/>
          <w:lang w:val="de-DE"/>
        </w:rPr>
        <w:t>Vite</w:t>
      </w:r>
      <w:r w:rsidRPr="00CC2C43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Pr="00CC2C4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CC2C43">
        <w:rPr>
          <w:rFonts w:ascii="Times New Roman" w:hAnsi="Times New Roman" w:cs="Times New Roman"/>
          <w:i/>
          <w:iCs/>
          <w:sz w:val="24"/>
          <w:szCs w:val="24"/>
          <w:lang w:val="de-DE"/>
        </w:rPr>
        <w:t>Mitteilungen des Kunsthistorischen Institutes in Florenz</w:t>
      </w:r>
      <w:r w:rsidRPr="00CC2C43">
        <w:rPr>
          <w:rFonts w:ascii="Times New Roman" w:hAnsi="Times New Roman" w:cs="Times New Roman"/>
          <w:sz w:val="24"/>
          <w:szCs w:val="24"/>
          <w:lang w:val="de-DE"/>
        </w:rPr>
        <w:t>, 55, 2013, 1, 55-71</w:t>
      </w:r>
      <w:r w:rsidR="00ED4468" w:rsidRPr="00ED446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ED4468" w:rsidRPr="00FE2630">
        <w:rPr>
          <w:rFonts w:ascii="Times New Roman" w:hAnsi="Times New Roman" w:cs="Times New Roman"/>
          <w:b/>
          <w:sz w:val="24"/>
          <w:szCs w:val="24"/>
          <w:highlight w:val="yellow"/>
        </w:rPr>
        <w:t>TESTO DISPONIBILE IN SCANSIONE</w:t>
      </w:r>
    </w:p>
    <w:p w:rsidR="00FE2630" w:rsidRPr="00FE2630" w:rsidRDefault="006C28E7" w:rsidP="00FE26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Alessandro Nova, “</w:t>
      </w:r>
      <w:r w:rsidRPr="006C28E7">
        <w:rPr>
          <w:rFonts w:ascii="Times New Roman" w:hAnsi="Times New Roman" w:cs="Times New Roman"/>
          <w:sz w:val="24"/>
          <w:szCs w:val="24"/>
        </w:rPr>
        <w:t xml:space="preserve">Piero di Cosimo, le </w:t>
      </w:r>
      <w:r w:rsidRPr="006C28E7">
        <w:rPr>
          <w:rFonts w:ascii="Times New Roman" w:hAnsi="Times New Roman" w:cs="Times New Roman"/>
          <w:i/>
          <w:iCs/>
          <w:sz w:val="24"/>
          <w:szCs w:val="24"/>
        </w:rPr>
        <w:t>Vite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di Vasari e i limiti di un sistema teleologico”</w:t>
      </w:r>
      <w:r w:rsidR="004717E7">
        <w:rPr>
          <w:rFonts w:ascii="Times New Roman" w:hAnsi="Times New Roman" w:cs="Times New Roman"/>
          <w:sz w:val="24"/>
          <w:szCs w:val="24"/>
        </w:rPr>
        <w:t>,</w:t>
      </w:r>
      <w:r w:rsidRPr="006C28E7">
        <w:rPr>
          <w:rFonts w:ascii="Times New Roman" w:hAnsi="Times New Roman" w:cs="Times New Roman"/>
          <w:sz w:val="24"/>
          <w:szCs w:val="24"/>
        </w:rPr>
        <w:t xml:space="preserve"> in </w:t>
      </w:r>
      <w:r w:rsidRPr="006C28E7">
        <w:rPr>
          <w:rFonts w:ascii="Times New Roman" w:hAnsi="Times New Roman" w:cs="Times New Roman"/>
          <w:i/>
          <w:iCs/>
          <w:sz w:val="24"/>
          <w:szCs w:val="24"/>
        </w:rPr>
        <w:t>Piero di Cosimo 1462-1522: pittore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eccentrico fra Rinascimento e </w:t>
      </w:r>
      <w:r w:rsidRPr="006C28E7">
        <w:rPr>
          <w:rFonts w:ascii="Times New Roman" w:hAnsi="Times New Roman" w:cs="Times New Roman"/>
          <w:i/>
          <w:iCs/>
          <w:sz w:val="24"/>
          <w:szCs w:val="24"/>
        </w:rPr>
        <w:t>Maniera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6C28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8E7">
        <w:rPr>
          <w:rFonts w:ascii="Times New Roman" w:hAnsi="Times New Roman" w:cs="Times New Roman"/>
          <w:sz w:val="24"/>
          <w:szCs w:val="24"/>
        </w:rPr>
        <w:t>Firenze: Giunti, 2015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28E7">
        <w:rPr>
          <w:rFonts w:ascii="Times New Roman" w:hAnsi="Times New Roman" w:cs="Times New Roman"/>
          <w:sz w:val="24"/>
          <w:szCs w:val="24"/>
        </w:rPr>
        <w:t xml:space="preserve">pp. 65-75 </w:t>
      </w:r>
      <w:r w:rsidR="00FE2630" w:rsidRPr="00FE2630">
        <w:rPr>
          <w:rFonts w:ascii="Times New Roman" w:hAnsi="Times New Roman" w:cs="Times New Roman"/>
          <w:b/>
          <w:sz w:val="24"/>
          <w:szCs w:val="24"/>
          <w:highlight w:val="yellow"/>
        </w:rPr>
        <w:t>TESTO DISPONIBILE IN SCANSIONE</w:t>
      </w:r>
    </w:p>
    <w:p w:rsidR="00FE2630" w:rsidRPr="00FE2630" w:rsidRDefault="00FE2630" w:rsidP="00FE2630">
      <w:pPr>
        <w:rPr>
          <w:rFonts w:ascii="Times New Roman" w:hAnsi="Times New Roman" w:cs="Times New Roman"/>
          <w:sz w:val="24"/>
          <w:szCs w:val="24"/>
        </w:rPr>
      </w:pPr>
      <w:r w:rsidRPr="00FE2630">
        <w:rPr>
          <w:rFonts w:ascii="Times New Roman" w:hAnsi="Times New Roman" w:cs="Times New Roman"/>
          <w:sz w:val="24"/>
          <w:szCs w:val="24"/>
        </w:rPr>
        <w:t xml:space="preserve">Giovanni </w:t>
      </w:r>
      <w:proofErr w:type="spellStart"/>
      <w:r w:rsidRPr="00FE2630">
        <w:rPr>
          <w:rFonts w:ascii="Times New Roman" w:hAnsi="Times New Roman" w:cs="Times New Roman"/>
          <w:sz w:val="24"/>
          <w:szCs w:val="24"/>
        </w:rPr>
        <w:t>Previtali</w:t>
      </w:r>
      <w:proofErr w:type="spellEnd"/>
      <w:r w:rsidRPr="00FE2630">
        <w:rPr>
          <w:rFonts w:ascii="Times New Roman" w:hAnsi="Times New Roman" w:cs="Times New Roman"/>
          <w:sz w:val="24"/>
          <w:szCs w:val="24"/>
        </w:rPr>
        <w:t xml:space="preserve">, </w:t>
      </w:r>
      <w:r w:rsidRPr="00FE2630">
        <w:rPr>
          <w:rFonts w:ascii="Times New Roman" w:hAnsi="Times New Roman" w:cs="Times New Roman"/>
          <w:i/>
          <w:iCs/>
          <w:sz w:val="24"/>
          <w:szCs w:val="24"/>
        </w:rPr>
        <w:t>La fortuna dei primitivi</w:t>
      </w:r>
      <w:r w:rsidRPr="00FE2630">
        <w:rPr>
          <w:rFonts w:ascii="Times New Roman" w:hAnsi="Times New Roman" w:cs="Times New Roman"/>
          <w:sz w:val="24"/>
          <w:szCs w:val="24"/>
        </w:rPr>
        <w:t>, Torino: Einaudi, 1964 (soprattutto pp. 3-20)</w:t>
      </w:r>
      <w:r w:rsidR="00832ACB">
        <w:rPr>
          <w:rFonts w:ascii="Times New Roman" w:hAnsi="Times New Roman" w:cs="Times New Roman"/>
          <w:sz w:val="24"/>
          <w:szCs w:val="24"/>
        </w:rPr>
        <w:t xml:space="preserve"> </w:t>
      </w:r>
      <w:r w:rsidR="00832ACB" w:rsidRPr="00FE2630">
        <w:rPr>
          <w:rFonts w:ascii="Times New Roman" w:hAnsi="Times New Roman" w:cs="Times New Roman"/>
          <w:b/>
          <w:sz w:val="24"/>
          <w:szCs w:val="24"/>
          <w:highlight w:val="yellow"/>
        </w:rPr>
        <w:t>TESTO DISPONIBILE IN SCANSIONE</w:t>
      </w:r>
    </w:p>
    <w:p w:rsidR="00FE2630" w:rsidRPr="00FE2630" w:rsidRDefault="00865FA7" w:rsidP="00FE2630">
      <w:pPr>
        <w:rPr>
          <w:rFonts w:ascii="Times New Roman" w:hAnsi="Times New Roman" w:cs="Times New Roman"/>
          <w:b/>
          <w:sz w:val="24"/>
          <w:szCs w:val="24"/>
        </w:rPr>
      </w:pPr>
      <w:r w:rsidRPr="00865FA7">
        <w:rPr>
          <w:rFonts w:ascii="Times New Roman" w:hAnsi="Times New Roman" w:cs="Times New Roman"/>
          <w:sz w:val="24"/>
          <w:szCs w:val="24"/>
        </w:rPr>
        <w:t xml:space="preserve">Marco </w:t>
      </w:r>
      <w:proofErr w:type="spellStart"/>
      <w:r w:rsidRPr="00865FA7">
        <w:rPr>
          <w:rFonts w:ascii="Times New Roman" w:hAnsi="Times New Roman" w:cs="Times New Roman"/>
          <w:sz w:val="24"/>
          <w:szCs w:val="24"/>
        </w:rPr>
        <w:t>Ruffini</w:t>
      </w:r>
      <w:proofErr w:type="spellEnd"/>
      <w:r w:rsidRPr="00865FA7">
        <w:rPr>
          <w:rFonts w:ascii="Times New Roman" w:hAnsi="Times New Roman" w:cs="Times New Roman"/>
          <w:sz w:val="24"/>
          <w:szCs w:val="24"/>
        </w:rPr>
        <w:t xml:space="preserve">, “Vasari e la scrittura delle </w:t>
      </w:r>
      <w:r w:rsidRPr="00865FA7">
        <w:rPr>
          <w:rFonts w:ascii="Times New Roman" w:hAnsi="Times New Roman" w:cs="Times New Roman"/>
          <w:i/>
          <w:iCs/>
          <w:sz w:val="24"/>
          <w:szCs w:val="24"/>
        </w:rPr>
        <w:t>Vite</w:t>
      </w:r>
      <w:r w:rsidRPr="00865FA7">
        <w:rPr>
          <w:rFonts w:ascii="Times New Roman" w:hAnsi="Times New Roman" w:cs="Times New Roman"/>
          <w:sz w:val="24"/>
          <w:szCs w:val="24"/>
        </w:rPr>
        <w:t xml:space="preserve">”, in </w:t>
      </w:r>
      <w:r w:rsidRPr="00865FA7">
        <w:rPr>
          <w:rFonts w:ascii="Times New Roman" w:hAnsi="Times New Roman" w:cs="Times New Roman"/>
          <w:i/>
          <w:iCs/>
          <w:sz w:val="24"/>
          <w:szCs w:val="24"/>
        </w:rPr>
        <w:t>Giorgio Vasari tra parola e immagine</w:t>
      </w:r>
      <w:r w:rsidRPr="00865F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FA7">
        <w:rPr>
          <w:rFonts w:ascii="Times New Roman" w:hAnsi="Times New Roman" w:cs="Times New Roman"/>
          <w:sz w:val="24"/>
          <w:szCs w:val="24"/>
        </w:rPr>
        <w:t>Ariccia</w:t>
      </w:r>
      <w:proofErr w:type="spellEnd"/>
      <w:r w:rsidRPr="00865F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65FA7">
        <w:rPr>
          <w:rFonts w:ascii="Times New Roman" w:hAnsi="Times New Roman" w:cs="Times New Roman"/>
          <w:sz w:val="24"/>
          <w:szCs w:val="24"/>
        </w:rPr>
        <w:t>Aracne</w:t>
      </w:r>
      <w:proofErr w:type="spellEnd"/>
      <w:r w:rsidRPr="00865FA7">
        <w:rPr>
          <w:rFonts w:ascii="Times New Roman" w:hAnsi="Times New Roman" w:cs="Times New Roman"/>
          <w:sz w:val="24"/>
          <w:szCs w:val="24"/>
        </w:rPr>
        <w:t>, 2014, pp. 63-70</w:t>
      </w:r>
      <w:r w:rsidR="00FE2630">
        <w:rPr>
          <w:rFonts w:ascii="Times New Roman" w:hAnsi="Times New Roman" w:cs="Times New Roman"/>
          <w:sz w:val="24"/>
          <w:szCs w:val="24"/>
        </w:rPr>
        <w:t xml:space="preserve"> </w:t>
      </w:r>
      <w:r w:rsidR="00FE2630" w:rsidRPr="00FE2630">
        <w:rPr>
          <w:rFonts w:ascii="Times New Roman" w:hAnsi="Times New Roman" w:cs="Times New Roman"/>
          <w:b/>
          <w:sz w:val="24"/>
          <w:szCs w:val="24"/>
          <w:highlight w:val="yellow"/>
        </w:rPr>
        <w:t>TESTO DISPONIBILE IN SCANSIONE</w:t>
      </w:r>
    </w:p>
    <w:p w:rsidR="00CC2C43" w:rsidRDefault="00CC2C43" w:rsidP="00CC2C43">
      <w:pPr>
        <w:rPr>
          <w:rFonts w:ascii="Times New Roman" w:hAnsi="Times New Roman" w:cs="Times New Roman"/>
          <w:sz w:val="24"/>
          <w:szCs w:val="24"/>
        </w:rPr>
      </w:pPr>
    </w:p>
    <w:p w:rsidR="006666E9" w:rsidRPr="00C93C2D" w:rsidRDefault="00C93C2D" w:rsidP="00CC2C43">
      <w:pPr>
        <w:rPr>
          <w:rFonts w:ascii="Times New Roman" w:hAnsi="Times New Roman" w:cs="Times New Roman"/>
          <w:b/>
          <w:sz w:val="28"/>
          <w:szCs w:val="28"/>
        </w:rPr>
      </w:pPr>
      <w:r w:rsidRPr="00C93C2D">
        <w:rPr>
          <w:rFonts w:ascii="Times New Roman" w:hAnsi="Times New Roman" w:cs="Times New Roman"/>
          <w:b/>
          <w:sz w:val="28"/>
          <w:szCs w:val="28"/>
        </w:rPr>
        <w:t>Di</w:t>
      </w:r>
      <w:r w:rsidR="006666E9" w:rsidRPr="00C93C2D">
        <w:rPr>
          <w:rFonts w:ascii="Times New Roman" w:hAnsi="Times New Roman" w:cs="Times New Roman"/>
          <w:b/>
          <w:sz w:val="28"/>
          <w:szCs w:val="28"/>
        </w:rPr>
        <w:t xml:space="preserve"> Malvasia:</w:t>
      </w:r>
    </w:p>
    <w:p w:rsidR="00000000" w:rsidRPr="00C93C2D" w:rsidRDefault="00CB185F" w:rsidP="00C93C2D">
      <w:pPr>
        <w:rPr>
          <w:rFonts w:ascii="Times New Roman" w:hAnsi="Times New Roman" w:cs="Times New Roman"/>
          <w:b/>
          <w:sz w:val="24"/>
          <w:szCs w:val="24"/>
        </w:rPr>
      </w:pPr>
      <w:r w:rsidRPr="00C93C2D">
        <w:rPr>
          <w:rFonts w:ascii="Times New Roman" w:hAnsi="Times New Roman" w:cs="Times New Roman"/>
          <w:sz w:val="24"/>
          <w:szCs w:val="24"/>
        </w:rPr>
        <w:t>Carlo Cesare Malvasia</w:t>
      </w:r>
      <w:r w:rsidRPr="00C93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C2D">
        <w:rPr>
          <w:rFonts w:ascii="Times New Roman" w:hAnsi="Times New Roman" w:cs="Times New Roman"/>
          <w:i/>
          <w:iCs/>
          <w:sz w:val="24"/>
          <w:szCs w:val="24"/>
        </w:rPr>
        <w:t>Felsina</w:t>
      </w:r>
      <w:proofErr w:type="spellEnd"/>
      <w:r w:rsidRPr="00C93C2D">
        <w:rPr>
          <w:rFonts w:ascii="Times New Roman" w:hAnsi="Times New Roman" w:cs="Times New Roman"/>
          <w:i/>
          <w:iCs/>
          <w:sz w:val="24"/>
          <w:szCs w:val="24"/>
        </w:rPr>
        <w:t xml:space="preserve"> pittrice</w:t>
      </w:r>
      <w:r w:rsidRPr="00C93C2D">
        <w:rPr>
          <w:rFonts w:ascii="Times New Roman" w:hAnsi="Times New Roman" w:cs="Times New Roman"/>
          <w:sz w:val="24"/>
          <w:szCs w:val="24"/>
        </w:rPr>
        <w:t xml:space="preserve">, a cura di Giampietro </w:t>
      </w:r>
      <w:proofErr w:type="spellStart"/>
      <w:r w:rsidRPr="00C93C2D">
        <w:rPr>
          <w:rFonts w:ascii="Times New Roman" w:hAnsi="Times New Roman" w:cs="Times New Roman"/>
          <w:sz w:val="24"/>
          <w:szCs w:val="24"/>
        </w:rPr>
        <w:t>Zanotti</w:t>
      </w:r>
      <w:proofErr w:type="spellEnd"/>
      <w:r w:rsidRPr="00C93C2D">
        <w:rPr>
          <w:rFonts w:ascii="Times New Roman" w:hAnsi="Times New Roman" w:cs="Times New Roman"/>
          <w:sz w:val="24"/>
          <w:szCs w:val="24"/>
        </w:rPr>
        <w:t>, 2 vol., Bologna: Tip. Guidi all’Ancora, 1841-1844</w:t>
      </w:r>
      <w:r w:rsidR="00C93C2D">
        <w:rPr>
          <w:rFonts w:ascii="Times New Roman" w:hAnsi="Times New Roman" w:cs="Times New Roman"/>
          <w:sz w:val="24"/>
          <w:szCs w:val="24"/>
        </w:rPr>
        <w:t xml:space="preserve"> </w:t>
      </w:r>
      <w:r w:rsidR="00C93C2D" w:rsidRPr="00FE2630">
        <w:rPr>
          <w:rFonts w:ascii="Times New Roman" w:hAnsi="Times New Roman" w:cs="Times New Roman"/>
          <w:b/>
          <w:sz w:val="24"/>
          <w:szCs w:val="24"/>
          <w:highlight w:val="yellow"/>
        </w:rPr>
        <w:t>TESTO DISPONIBILE IN SCANSION</w:t>
      </w:r>
      <w:r w:rsidR="00C93C2D" w:rsidRPr="00C93C2D">
        <w:rPr>
          <w:rFonts w:ascii="Times New Roman" w:hAnsi="Times New Roman" w:cs="Times New Roman"/>
          <w:b/>
          <w:sz w:val="24"/>
          <w:szCs w:val="24"/>
          <w:highlight w:val="yellow"/>
        </w:rPr>
        <w:t>E PER LE PARTI LETTE A LEZIONE</w:t>
      </w:r>
    </w:p>
    <w:p w:rsidR="00606910" w:rsidRDefault="00CB185F" w:rsidP="00CC2C43">
      <w:pPr>
        <w:rPr>
          <w:rFonts w:ascii="Times New Roman" w:hAnsi="Times New Roman" w:cs="Times New Roman"/>
          <w:b/>
          <w:sz w:val="24"/>
          <w:szCs w:val="24"/>
        </w:rPr>
      </w:pPr>
      <w:r w:rsidRPr="00C93C2D">
        <w:rPr>
          <w:rFonts w:ascii="Times New Roman" w:hAnsi="Times New Roman" w:cs="Times New Roman"/>
          <w:i/>
          <w:iCs/>
          <w:sz w:val="24"/>
          <w:szCs w:val="24"/>
        </w:rPr>
        <w:t xml:space="preserve">Carlo Cesare </w:t>
      </w:r>
      <w:proofErr w:type="spellStart"/>
      <w:r w:rsidRPr="00C93C2D">
        <w:rPr>
          <w:rFonts w:ascii="Times New Roman" w:hAnsi="Times New Roman" w:cs="Times New Roman"/>
          <w:i/>
          <w:iCs/>
          <w:sz w:val="24"/>
          <w:szCs w:val="24"/>
        </w:rPr>
        <w:t>Malvasia’s</w:t>
      </w:r>
      <w:proofErr w:type="spellEnd"/>
      <w:r w:rsidRPr="00C93C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C2D">
        <w:rPr>
          <w:rFonts w:ascii="Times New Roman" w:hAnsi="Times New Roman" w:cs="Times New Roman"/>
          <w:i/>
          <w:iCs/>
          <w:sz w:val="24"/>
          <w:szCs w:val="24"/>
        </w:rPr>
        <w:t>Felsina</w:t>
      </w:r>
      <w:proofErr w:type="spellEnd"/>
      <w:r w:rsidRPr="00C93C2D">
        <w:rPr>
          <w:rFonts w:ascii="Times New Roman" w:hAnsi="Times New Roman" w:cs="Times New Roman"/>
          <w:i/>
          <w:iCs/>
          <w:sz w:val="24"/>
          <w:szCs w:val="24"/>
        </w:rPr>
        <w:t xml:space="preserve"> Pittrice: </w:t>
      </w:r>
      <w:proofErr w:type="spellStart"/>
      <w:r w:rsidRPr="00C93C2D">
        <w:rPr>
          <w:rFonts w:ascii="Times New Roman" w:hAnsi="Times New Roman" w:cs="Times New Roman"/>
          <w:i/>
          <w:iCs/>
          <w:sz w:val="24"/>
          <w:szCs w:val="24"/>
        </w:rPr>
        <w:t>Lives</w:t>
      </w:r>
      <w:proofErr w:type="spellEnd"/>
      <w:r w:rsidRPr="00C93C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C2D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93C2D">
        <w:rPr>
          <w:rFonts w:ascii="Times New Roman" w:hAnsi="Times New Roman" w:cs="Times New Roman"/>
          <w:i/>
          <w:iCs/>
          <w:sz w:val="24"/>
          <w:szCs w:val="24"/>
        </w:rPr>
        <w:t xml:space="preserve"> the </w:t>
      </w:r>
      <w:r w:rsidRPr="00C93C2D">
        <w:rPr>
          <w:rFonts w:ascii="Times New Roman" w:hAnsi="Times New Roman" w:cs="Times New Roman"/>
          <w:i/>
          <w:iCs/>
          <w:sz w:val="24"/>
          <w:szCs w:val="24"/>
        </w:rPr>
        <w:t xml:space="preserve">Bolognese </w:t>
      </w:r>
      <w:proofErr w:type="spellStart"/>
      <w:r w:rsidRPr="00C93C2D">
        <w:rPr>
          <w:rFonts w:ascii="Times New Roman" w:hAnsi="Times New Roman" w:cs="Times New Roman"/>
          <w:i/>
          <w:iCs/>
          <w:sz w:val="24"/>
          <w:szCs w:val="24"/>
        </w:rPr>
        <w:t>Painters</w:t>
      </w:r>
      <w:proofErr w:type="spellEnd"/>
      <w:r w:rsidRPr="00C93C2D">
        <w:rPr>
          <w:rFonts w:ascii="Times New Roman" w:hAnsi="Times New Roman" w:cs="Times New Roman"/>
          <w:sz w:val="24"/>
          <w:szCs w:val="24"/>
        </w:rPr>
        <w:t xml:space="preserve">, Volume </w:t>
      </w:r>
      <w:proofErr w:type="spellStart"/>
      <w:r w:rsidRPr="00C93C2D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93C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3C2D">
        <w:rPr>
          <w:rFonts w:ascii="Times New Roman" w:hAnsi="Times New Roman" w:cs="Times New Roman"/>
          <w:i/>
          <w:iCs/>
          <w:sz w:val="24"/>
          <w:szCs w:val="24"/>
        </w:rPr>
        <w:t>Early</w:t>
      </w:r>
      <w:proofErr w:type="spellEnd"/>
      <w:r w:rsidRPr="00C93C2D">
        <w:rPr>
          <w:rFonts w:ascii="Times New Roman" w:hAnsi="Times New Roman" w:cs="Times New Roman"/>
          <w:i/>
          <w:iCs/>
          <w:sz w:val="24"/>
          <w:szCs w:val="24"/>
        </w:rPr>
        <w:t xml:space="preserve"> Bolognese </w:t>
      </w:r>
      <w:proofErr w:type="spellStart"/>
      <w:r w:rsidRPr="00C93C2D">
        <w:rPr>
          <w:rFonts w:ascii="Times New Roman" w:hAnsi="Times New Roman" w:cs="Times New Roman"/>
          <w:i/>
          <w:iCs/>
          <w:sz w:val="24"/>
          <w:szCs w:val="24"/>
        </w:rPr>
        <w:t>Painting</w:t>
      </w:r>
      <w:proofErr w:type="spellEnd"/>
      <w:r w:rsidRPr="00C93C2D">
        <w:rPr>
          <w:rFonts w:ascii="Times New Roman" w:hAnsi="Times New Roman" w:cs="Times New Roman"/>
          <w:sz w:val="24"/>
          <w:szCs w:val="24"/>
        </w:rPr>
        <w:t xml:space="preserve">, a cura di Elizabeth </w:t>
      </w:r>
      <w:proofErr w:type="spellStart"/>
      <w:r w:rsidRPr="00C93C2D">
        <w:rPr>
          <w:rFonts w:ascii="Times New Roman" w:hAnsi="Times New Roman" w:cs="Times New Roman"/>
          <w:sz w:val="24"/>
          <w:szCs w:val="24"/>
        </w:rPr>
        <w:t>Cropper</w:t>
      </w:r>
      <w:proofErr w:type="spellEnd"/>
      <w:r w:rsidRPr="00C93C2D">
        <w:rPr>
          <w:rFonts w:ascii="Times New Roman" w:hAnsi="Times New Roman" w:cs="Times New Roman"/>
          <w:sz w:val="24"/>
          <w:szCs w:val="24"/>
        </w:rPr>
        <w:t xml:space="preserve"> e Lorenzo Pericolo, Londra e </w:t>
      </w:r>
      <w:proofErr w:type="spellStart"/>
      <w:r w:rsidRPr="00C93C2D">
        <w:rPr>
          <w:rFonts w:ascii="Times New Roman" w:hAnsi="Times New Roman" w:cs="Times New Roman"/>
          <w:sz w:val="24"/>
          <w:szCs w:val="24"/>
        </w:rPr>
        <w:t>Turnhout</w:t>
      </w:r>
      <w:proofErr w:type="spellEnd"/>
      <w:r w:rsidRPr="00C93C2D">
        <w:rPr>
          <w:rFonts w:ascii="Times New Roman" w:hAnsi="Times New Roman" w:cs="Times New Roman"/>
          <w:sz w:val="24"/>
          <w:szCs w:val="24"/>
        </w:rPr>
        <w:t>: Harvey Miller, 2012</w:t>
      </w:r>
      <w:r w:rsidR="00C93C2D">
        <w:rPr>
          <w:rFonts w:ascii="Times New Roman" w:hAnsi="Times New Roman" w:cs="Times New Roman"/>
          <w:sz w:val="24"/>
          <w:szCs w:val="24"/>
        </w:rPr>
        <w:t xml:space="preserve"> </w:t>
      </w:r>
      <w:r w:rsidR="00C93C2D" w:rsidRPr="006666E9">
        <w:rPr>
          <w:rFonts w:ascii="Times New Roman" w:hAnsi="Times New Roman" w:cs="Times New Roman"/>
          <w:b/>
          <w:sz w:val="24"/>
          <w:szCs w:val="24"/>
        </w:rPr>
        <w:t>(</w:t>
      </w:r>
      <w:r w:rsidR="00C93C2D">
        <w:rPr>
          <w:rFonts w:ascii="Times New Roman" w:hAnsi="Times New Roman" w:cs="Times New Roman"/>
          <w:b/>
          <w:sz w:val="24"/>
          <w:szCs w:val="24"/>
        </w:rPr>
        <w:t>le note a questa ottima</w:t>
      </w:r>
      <w:r w:rsidR="00C93C2D" w:rsidRPr="006666E9">
        <w:rPr>
          <w:rFonts w:ascii="Times New Roman" w:hAnsi="Times New Roman" w:cs="Times New Roman"/>
          <w:b/>
          <w:sz w:val="24"/>
          <w:szCs w:val="24"/>
        </w:rPr>
        <w:t xml:space="preserve"> traduzione inglese </w:t>
      </w:r>
      <w:r w:rsidR="00C93C2D">
        <w:rPr>
          <w:rFonts w:ascii="Times New Roman" w:hAnsi="Times New Roman" w:cs="Times New Roman"/>
          <w:b/>
          <w:sz w:val="24"/>
          <w:szCs w:val="24"/>
        </w:rPr>
        <w:t>sono utilissime</w:t>
      </w:r>
      <w:r w:rsidR="00C93C2D" w:rsidRPr="006666E9">
        <w:rPr>
          <w:rFonts w:ascii="Times New Roman" w:hAnsi="Times New Roman" w:cs="Times New Roman"/>
          <w:b/>
          <w:sz w:val="24"/>
          <w:szCs w:val="24"/>
        </w:rPr>
        <w:t xml:space="preserve"> per il co</w:t>
      </w:r>
      <w:r w:rsidR="00C93C2D">
        <w:rPr>
          <w:rFonts w:ascii="Times New Roman" w:hAnsi="Times New Roman" w:cs="Times New Roman"/>
          <w:b/>
          <w:sz w:val="24"/>
          <w:szCs w:val="24"/>
        </w:rPr>
        <w:t>mmento ai brani letti a lezione</w:t>
      </w:r>
      <w:r w:rsidR="00D20670">
        <w:rPr>
          <w:rFonts w:ascii="Times New Roman" w:hAnsi="Times New Roman" w:cs="Times New Roman"/>
          <w:b/>
          <w:sz w:val="24"/>
          <w:szCs w:val="24"/>
        </w:rPr>
        <w:t>; inoltre la stessa traduzione in inglese può facilitare a comprendere alcuni brani che nell’originale italiano risultano piuttosto oscuri</w:t>
      </w:r>
      <w:r w:rsidR="00C93C2D" w:rsidRPr="006666E9">
        <w:rPr>
          <w:rFonts w:ascii="Times New Roman" w:hAnsi="Times New Roman" w:cs="Times New Roman"/>
          <w:b/>
          <w:sz w:val="24"/>
          <w:szCs w:val="24"/>
        </w:rPr>
        <w:t>)</w:t>
      </w:r>
    </w:p>
    <w:p w:rsidR="00D20670" w:rsidRDefault="006D0480" w:rsidP="00D20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670" w:rsidRPr="004717E7" w:rsidRDefault="00D20670" w:rsidP="00D2067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17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 </w:t>
      </w:r>
      <w:proofErr w:type="spellStart"/>
      <w:r w:rsidRPr="004717E7">
        <w:rPr>
          <w:rFonts w:ascii="Times New Roman" w:hAnsi="Times New Roman" w:cs="Times New Roman"/>
          <w:b/>
          <w:sz w:val="28"/>
          <w:szCs w:val="28"/>
          <w:lang w:val="en-US"/>
        </w:rPr>
        <w:t>Malvasia</w:t>
      </w:r>
      <w:proofErr w:type="spellEnd"/>
      <w:r w:rsidRPr="004717E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C6206" w:rsidRPr="00890D75" w:rsidRDefault="006C6206" w:rsidP="006666E9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717E7">
        <w:rPr>
          <w:rFonts w:ascii="Times New Roman" w:hAnsi="Times New Roman" w:cs="Times New Roman"/>
          <w:iCs/>
          <w:sz w:val="24"/>
          <w:szCs w:val="24"/>
          <w:lang w:val="en-US"/>
        </w:rPr>
        <w:t>Elizabeth Cropper, “</w:t>
      </w:r>
      <w:proofErr w:type="spellStart"/>
      <w:r w:rsidR="004717E7" w:rsidRPr="004717E7">
        <w:rPr>
          <w:rFonts w:ascii="Times New Roman" w:hAnsi="Times New Roman" w:cs="Times New Roman"/>
          <w:iCs/>
          <w:sz w:val="24"/>
          <w:szCs w:val="24"/>
          <w:lang w:val="en-US"/>
        </w:rPr>
        <w:t>Malvasia’</w:t>
      </w:r>
      <w:r w:rsidR="004717E7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proofErr w:type="spellEnd"/>
      <w:r w:rsidR="004717E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Anti-</w:t>
      </w:r>
      <w:proofErr w:type="spellStart"/>
      <w:r w:rsidR="004717E7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="004717E7" w:rsidRPr="004717E7">
        <w:rPr>
          <w:rFonts w:ascii="Times New Roman" w:hAnsi="Times New Roman" w:cs="Times New Roman"/>
          <w:iCs/>
          <w:sz w:val="24"/>
          <w:szCs w:val="24"/>
          <w:lang w:val="en-US"/>
        </w:rPr>
        <w:t>asaria</w:t>
      </w:r>
      <w:r w:rsidR="004717E7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proofErr w:type="spellEnd"/>
      <w:r w:rsidR="004717E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History of Art: A </w:t>
      </w:r>
      <w:proofErr w:type="spellStart"/>
      <w:r w:rsidR="004717E7">
        <w:rPr>
          <w:rFonts w:ascii="Times New Roman" w:hAnsi="Times New Roman" w:cs="Times New Roman"/>
          <w:iCs/>
          <w:sz w:val="24"/>
          <w:szCs w:val="24"/>
          <w:lang w:val="en-US"/>
        </w:rPr>
        <w:t>Tredition</w:t>
      </w:r>
      <w:proofErr w:type="spellEnd"/>
      <w:r w:rsidR="004717E7">
        <w:rPr>
          <w:rFonts w:ascii="Times New Roman" w:hAnsi="Times New Roman" w:cs="Times New Roman"/>
          <w:iCs/>
          <w:sz w:val="24"/>
          <w:szCs w:val="24"/>
          <w:lang w:val="en-US"/>
        </w:rPr>
        <w:t>, N</w:t>
      </w:r>
      <w:r w:rsidR="004717E7" w:rsidRPr="004717E7">
        <w:rPr>
          <w:rFonts w:ascii="Times New Roman" w:hAnsi="Times New Roman" w:cs="Times New Roman"/>
          <w:iCs/>
          <w:sz w:val="24"/>
          <w:szCs w:val="24"/>
          <w:lang w:val="en-US"/>
        </w:rPr>
        <w:t>ot a Rebirth</w:t>
      </w:r>
      <w:r w:rsidR="004717E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”, in </w:t>
      </w:r>
      <w:r w:rsidR="004717E7" w:rsidRPr="004717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Gifts in Return: Essays in </w:t>
      </w:r>
      <w:proofErr w:type="spellStart"/>
      <w:r w:rsidR="004717E7" w:rsidRPr="004717E7">
        <w:rPr>
          <w:rFonts w:ascii="Times New Roman" w:hAnsi="Times New Roman" w:cs="Times New Roman"/>
          <w:i/>
          <w:iCs/>
          <w:sz w:val="24"/>
          <w:szCs w:val="24"/>
          <w:lang w:val="en-US"/>
        </w:rPr>
        <w:t>Honour</w:t>
      </w:r>
      <w:proofErr w:type="spellEnd"/>
      <w:r w:rsidR="004717E7" w:rsidRPr="004717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Charles Dempsey</w:t>
      </w:r>
      <w:r w:rsidR="004717E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a </w:t>
      </w:r>
      <w:proofErr w:type="spellStart"/>
      <w:r w:rsidR="004717E7">
        <w:rPr>
          <w:rFonts w:ascii="Times New Roman" w:hAnsi="Times New Roman" w:cs="Times New Roman"/>
          <w:iCs/>
          <w:sz w:val="24"/>
          <w:szCs w:val="24"/>
          <w:lang w:val="en-US"/>
        </w:rPr>
        <w:t>cura</w:t>
      </w:r>
      <w:proofErr w:type="spellEnd"/>
      <w:r w:rsidR="004717E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4717E7">
        <w:rPr>
          <w:rFonts w:ascii="Times New Roman" w:hAnsi="Times New Roman" w:cs="Times New Roman"/>
          <w:iCs/>
          <w:sz w:val="24"/>
          <w:szCs w:val="24"/>
          <w:lang w:val="en-US"/>
        </w:rPr>
        <w:t>di</w:t>
      </w:r>
      <w:proofErr w:type="spellEnd"/>
      <w:r w:rsidR="004717E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Melinda </w:t>
      </w:r>
      <w:proofErr w:type="spellStart"/>
      <w:r w:rsidR="004717E7">
        <w:rPr>
          <w:rFonts w:ascii="Times New Roman" w:hAnsi="Times New Roman" w:cs="Times New Roman"/>
          <w:iCs/>
          <w:sz w:val="24"/>
          <w:szCs w:val="24"/>
          <w:lang w:val="en-US"/>
        </w:rPr>
        <w:t>Schlitt</w:t>
      </w:r>
      <w:proofErr w:type="spellEnd"/>
      <w:r w:rsidR="004717E7">
        <w:rPr>
          <w:rFonts w:ascii="Times New Roman" w:hAnsi="Times New Roman" w:cs="Times New Roman"/>
          <w:iCs/>
          <w:sz w:val="24"/>
          <w:szCs w:val="24"/>
          <w:lang w:val="en-US"/>
        </w:rPr>
        <w:t>, Toronto: Centre for Reformation and Renaiss</w:t>
      </w:r>
      <w:r w:rsidR="00890D7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ance Studies, 2012, pp. 415-443 </w:t>
      </w:r>
      <w:r w:rsidR="00890D75" w:rsidRPr="00890D75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TESTO DISPONIBILE IN SCANSIONE</w:t>
      </w:r>
    </w:p>
    <w:p w:rsidR="00000000" w:rsidRDefault="00CB185F" w:rsidP="006666E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66E9">
        <w:rPr>
          <w:rFonts w:ascii="Times New Roman" w:hAnsi="Times New Roman" w:cs="Times New Roman"/>
          <w:i/>
          <w:iCs/>
          <w:sz w:val="24"/>
          <w:szCs w:val="24"/>
        </w:rPr>
        <w:t>Malvasia’s</w:t>
      </w:r>
      <w:proofErr w:type="spellEnd"/>
      <w:r w:rsidRPr="006666E9">
        <w:rPr>
          <w:rFonts w:ascii="Times New Roman" w:hAnsi="Times New Roman" w:cs="Times New Roman"/>
          <w:i/>
          <w:iCs/>
          <w:sz w:val="24"/>
          <w:szCs w:val="24"/>
        </w:rPr>
        <w:t xml:space="preserve"> Life </w:t>
      </w:r>
      <w:proofErr w:type="spellStart"/>
      <w:r w:rsidRPr="006666E9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6666E9">
        <w:rPr>
          <w:rFonts w:ascii="Times New Roman" w:hAnsi="Times New Roman" w:cs="Times New Roman"/>
          <w:i/>
          <w:iCs/>
          <w:sz w:val="24"/>
          <w:szCs w:val="24"/>
        </w:rPr>
        <w:t xml:space="preserve"> the </w:t>
      </w:r>
      <w:proofErr w:type="spellStart"/>
      <w:r w:rsidRPr="006666E9">
        <w:rPr>
          <w:rFonts w:ascii="Times New Roman" w:hAnsi="Times New Roman" w:cs="Times New Roman"/>
          <w:i/>
          <w:iCs/>
          <w:sz w:val="24"/>
          <w:szCs w:val="24"/>
        </w:rPr>
        <w:t>Carracci</w:t>
      </w:r>
      <w:proofErr w:type="spellEnd"/>
      <w:r w:rsidRPr="006666E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6666E9">
        <w:rPr>
          <w:rFonts w:ascii="Times New Roman" w:hAnsi="Times New Roman" w:cs="Times New Roman"/>
          <w:i/>
          <w:iCs/>
          <w:sz w:val="24"/>
          <w:szCs w:val="24"/>
        </w:rPr>
        <w:t>Commentary</w:t>
      </w:r>
      <w:proofErr w:type="spellEnd"/>
      <w:r w:rsidRPr="006666E9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6666E9">
        <w:rPr>
          <w:rFonts w:ascii="Times New Roman" w:hAnsi="Times New Roman" w:cs="Times New Roman"/>
          <w:i/>
          <w:iCs/>
          <w:sz w:val="24"/>
          <w:szCs w:val="24"/>
        </w:rPr>
        <w:t>Translation</w:t>
      </w:r>
      <w:proofErr w:type="spellEnd"/>
      <w:r w:rsidRPr="006666E9">
        <w:rPr>
          <w:rFonts w:ascii="Times New Roman" w:hAnsi="Times New Roman" w:cs="Times New Roman"/>
          <w:sz w:val="24"/>
          <w:szCs w:val="24"/>
        </w:rPr>
        <w:t xml:space="preserve">, a cura di Anne </w:t>
      </w:r>
      <w:proofErr w:type="spellStart"/>
      <w:r w:rsidRPr="006666E9">
        <w:rPr>
          <w:rFonts w:ascii="Times New Roman" w:hAnsi="Times New Roman" w:cs="Times New Roman"/>
          <w:sz w:val="24"/>
          <w:szCs w:val="24"/>
        </w:rPr>
        <w:t>Summerscale</w:t>
      </w:r>
      <w:proofErr w:type="spellEnd"/>
      <w:r w:rsidRPr="00666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6E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666E9">
        <w:rPr>
          <w:rFonts w:ascii="Times New Roman" w:hAnsi="Times New Roman" w:cs="Times New Roman"/>
          <w:sz w:val="24"/>
          <w:szCs w:val="24"/>
        </w:rPr>
        <w:t xml:space="preserve"> Park, PA: Pennsylvania State </w:t>
      </w:r>
      <w:proofErr w:type="spellStart"/>
      <w:r w:rsidRPr="006666E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666E9">
        <w:rPr>
          <w:rFonts w:ascii="Times New Roman" w:hAnsi="Times New Roman" w:cs="Times New Roman"/>
          <w:sz w:val="24"/>
          <w:szCs w:val="24"/>
        </w:rPr>
        <w:t xml:space="preserve"> Press,</w:t>
      </w:r>
      <w:r w:rsidRPr="006666E9">
        <w:rPr>
          <w:rFonts w:ascii="Times New Roman" w:hAnsi="Times New Roman" w:cs="Times New Roman"/>
          <w:sz w:val="24"/>
          <w:szCs w:val="24"/>
        </w:rPr>
        <w:t xml:space="preserve"> 2000</w:t>
      </w:r>
      <w:r w:rsidRPr="006666E9">
        <w:rPr>
          <w:rFonts w:ascii="Times New Roman" w:hAnsi="Times New Roman" w:cs="Times New Roman"/>
          <w:sz w:val="24"/>
          <w:szCs w:val="24"/>
        </w:rPr>
        <w:t xml:space="preserve"> </w:t>
      </w:r>
      <w:r w:rsidR="00B81F6A">
        <w:rPr>
          <w:rFonts w:ascii="Times New Roman" w:hAnsi="Times New Roman" w:cs="Times New Roman"/>
          <w:b/>
          <w:sz w:val="24"/>
          <w:szCs w:val="24"/>
        </w:rPr>
        <w:t>(ottimo per chi volesse farsi un’idea molto chiara e approfondita sull</w:t>
      </w:r>
      <w:r w:rsidR="006666E9" w:rsidRPr="006666E9">
        <w:rPr>
          <w:rFonts w:ascii="Times New Roman" w:hAnsi="Times New Roman" w:cs="Times New Roman"/>
          <w:b/>
          <w:sz w:val="24"/>
          <w:szCs w:val="24"/>
        </w:rPr>
        <w:t>’</w:t>
      </w:r>
      <w:r w:rsidR="00B81F6A">
        <w:rPr>
          <w:rFonts w:ascii="Times New Roman" w:hAnsi="Times New Roman" w:cs="Times New Roman"/>
          <w:b/>
          <w:sz w:val="24"/>
          <w:szCs w:val="24"/>
        </w:rPr>
        <w:t xml:space="preserve">autore e la sua </w:t>
      </w:r>
      <w:r w:rsidR="006666E9" w:rsidRPr="006666E9">
        <w:rPr>
          <w:rFonts w:ascii="Times New Roman" w:hAnsi="Times New Roman" w:cs="Times New Roman"/>
          <w:b/>
          <w:sz w:val="24"/>
          <w:szCs w:val="24"/>
        </w:rPr>
        <w:t>opera</w:t>
      </w:r>
      <w:r w:rsidR="00B81F6A">
        <w:rPr>
          <w:rFonts w:ascii="Times New Roman" w:hAnsi="Times New Roman" w:cs="Times New Roman"/>
          <w:b/>
          <w:sz w:val="24"/>
          <w:szCs w:val="24"/>
        </w:rPr>
        <w:t xml:space="preserve"> – si vedano cioè i capitoli relativi</w:t>
      </w:r>
      <w:r w:rsidR="006666E9" w:rsidRPr="006666E9">
        <w:rPr>
          <w:rFonts w:ascii="Times New Roman" w:hAnsi="Times New Roman" w:cs="Times New Roman"/>
          <w:b/>
          <w:sz w:val="24"/>
          <w:szCs w:val="24"/>
        </w:rPr>
        <w:t>)</w:t>
      </w:r>
    </w:p>
    <w:p w:rsidR="006D0480" w:rsidRPr="006D0480" w:rsidRDefault="00890D75" w:rsidP="006D0480">
      <w:pPr>
        <w:rPr>
          <w:rFonts w:ascii="Times New Roman" w:hAnsi="Times New Roman" w:cs="Times New Roman"/>
          <w:iCs/>
          <w:sz w:val="24"/>
          <w:szCs w:val="24"/>
        </w:rPr>
      </w:pPr>
      <w:r w:rsidRPr="00890D75">
        <w:rPr>
          <w:rFonts w:ascii="Times New Roman" w:hAnsi="Times New Roman" w:cs="Times New Roman"/>
          <w:sz w:val="24"/>
          <w:szCs w:val="24"/>
        </w:rPr>
        <w:t xml:space="preserve">Giovanna </w:t>
      </w:r>
      <w:proofErr w:type="spellStart"/>
      <w:r w:rsidRPr="00890D75">
        <w:rPr>
          <w:rFonts w:ascii="Times New Roman" w:hAnsi="Times New Roman" w:cs="Times New Roman"/>
          <w:sz w:val="24"/>
          <w:szCs w:val="24"/>
        </w:rPr>
        <w:t>Perini</w:t>
      </w:r>
      <w:proofErr w:type="spellEnd"/>
      <w:r w:rsidRPr="00890D75">
        <w:rPr>
          <w:rFonts w:ascii="Times New Roman" w:hAnsi="Times New Roman" w:cs="Times New Roman"/>
          <w:sz w:val="24"/>
          <w:szCs w:val="24"/>
        </w:rPr>
        <w:t>,</w:t>
      </w:r>
      <w:r w:rsidR="002E60B3">
        <w:rPr>
          <w:rFonts w:ascii="Times New Roman" w:hAnsi="Times New Roman" w:cs="Times New Roman"/>
          <w:sz w:val="24"/>
          <w:szCs w:val="24"/>
        </w:rPr>
        <w:t xml:space="preserve"> “Carmi inediti su Raffaello e sull’arte della prima metà del Cinquecento a Roma e Ferrara e il mondo d</w:t>
      </w:r>
      <w:r w:rsidR="00CB185F">
        <w:rPr>
          <w:rFonts w:ascii="Times New Roman" w:hAnsi="Times New Roman" w:cs="Times New Roman"/>
          <w:sz w:val="24"/>
          <w:szCs w:val="24"/>
        </w:rPr>
        <w:t>e</w:t>
      </w:r>
      <w:r w:rsidR="002E60B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E60B3">
        <w:rPr>
          <w:rFonts w:ascii="Times New Roman" w:hAnsi="Times New Roman" w:cs="Times New Roman"/>
          <w:sz w:val="24"/>
          <w:szCs w:val="24"/>
        </w:rPr>
        <w:t>Coryciana</w:t>
      </w:r>
      <w:proofErr w:type="spellEnd"/>
      <w:r w:rsidR="002E60B3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6D0480" w:rsidRPr="006D0480">
        <w:rPr>
          <w:rFonts w:ascii="Times New Roman" w:hAnsi="Times New Roman" w:cs="Times New Roman"/>
          <w:i/>
          <w:color w:val="000000"/>
          <w:sz w:val="24"/>
          <w:szCs w:val="24"/>
        </w:rPr>
        <w:t>Römisches</w:t>
      </w:r>
      <w:proofErr w:type="spellEnd"/>
      <w:r w:rsidR="006D0480" w:rsidRPr="006D0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6D0480" w:rsidRPr="006D0480">
        <w:rPr>
          <w:rFonts w:ascii="Times New Roman" w:hAnsi="Times New Roman" w:cs="Times New Roman"/>
          <w:i/>
          <w:color w:val="000000"/>
          <w:sz w:val="24"/>
          <w:szCs w:val="24"/>
        </w:rPr>
        <w:t>Jahrbuch</w:t>
      </w:r>
      <w:proofErr w:type="spellEnd"/>
      <w:r w:rsidR="006D0480" w:rsidRPr="006D0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6D0480" w:rsidRPr="006D0480">
        <w:rPr>
          <w:rFonts w:ascii="Times New Roman" w:hAnsi="Times New Roman" w:cs="Times New Roman"/>
          <w:i/>
          <w:color w:val="000000"/>
          <w:sz w:val="24"/>
          <w:szCs w:val="24"/>
        </w:rPr>
        <w:t>der</w:t>
      </w:r>
      <w:proofErr w:type="spellEnd"/>
      <w:r w:rsidR="006D0480" w:rsidRPr="006D0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6D0480" w:rsidRPr="006D0480">
        <w:rPr>
          <w:rFonts w:ascii="Times New Roman" w:hAnsi="Times New Roman" w:cs="Times New Roman"/>
          <w:i/>
          <w:color w:val="000000"/>
          <w:sz w:val="24"/>
          <w:szCs w:val="24"/>
        </w:rPr>
        <w:t>Bibliotheca</w:t>
      </w:r>
      <w:proofErr w:type="spellEnd"/>
      <w:r w:rsidR="006D0480" w:rsidRPr="006D0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D0480" w:rsidRPr="006D0480">
        <w:rPr>
          <w:rFonts w:ascii="Times New Roman" w:hAnsi="Times New Roman" w:cs="Times New Roman"/>
          <w:color w:val="000000"/>
          <w:sz w:val="24"/>
          <w:szCs w:val="24"/>
        </w:rPr>
        <w:t>Hertziana</w:t>
      </w:r>
      <w:r w:rsidR="006D0480">
        <w:rPr>
          <w:rFonts w:ascii="Times New Roman" w:hAnsi="Times New Roman" w:cs="Times New Roman"/>
          <w:color w:val="000000"/>
          <w:sz w:val="24"/>
          <w:szCs w:val="24"/>
        </w:rPr>
        <w:t xml:space="preserve">, 32, 1997/98, </w:t>
      </w:r>
      <w:r w:rsidR="006D0480">
        <w:rPr>
          <w:rFonts w:ascii="Times New Roman" w:hAnsi="Times New Roman" w:cs="Times New Roman"/>
          <w:color w:val="000000"/>
          <w:sz w:val="24"/>
          <w:szCs w:val="24"/>
        </w:rPr>
        <w:lastRenderedPageBreak/>
        <w:t>2002, pp.</w:t>
      </w:r>
      <w:r w:rsidR="006D0480" w:rsidRPr="006D0480">
        <w:rPr>
          <w:rFonts w:ascii="Times New Roman" w:hAnsi="Times New Roman" w:cs="Times New Roman"/>
          <w:color w:val="000000"/>
          <w:sz w:val="24"/>
          <w:szCs w:val="24"/>
        </w:rPr>
        <w:t xml:space="preserve"> 367-407</w:t>
      </w:r>
      <w:r w:rsidR="006D0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480" w:rsidRPr="006D0480">
        <w:rPr>
          <w:rFonts w:ascii="Times New Roman" w:hAnsi="Times New Roman" w:cs="Times New Roman"/>
          <w:b/>
          <w:color w:val="000000"/>
          <w:sz w:val="24"/>
          <w:szCs w:val="24"/>
        </w:rPr>
        <w:t>(so</w:t>
      </w:r>
      <w:r w:rsidR="006D0480">
        <w:rPr>
          <w:rFonts w:ascii="Times New Roman" w:hAnsi="Times New Roman" w:cs="Times New Roman"/>
          <w:b/>
          <w:color w:val="000000"/>
          <w:sz w:val="24"/>
          <w:szCs w:val="24"/>
        </w:rPr>
        <w:t>prattutt</w:t>
      </w:r>
      <w:r w:rsidR="006D0480" w:rsidRPr="006D04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</w:t>
      </w:r>
      <w:r w:rsidR="00CB185F">
        <w:rPr>
          <w:rFonts w:ascii="Times New Roman" w:hAnsi="Times New Roman" w:cs="Times New Roman"/>
          <w:b/>
          <w:color w:val="000000"/>
          <w:sz w:val="24"/>
          <w:szCs w:val="24"/>
        </w:rPr>
        <w:t>l’Appendice, p</w:t>
      </w:r>
      <w:r w:rsidR="006D0480" w:rsidRPr="006D04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388 </w:t>
      </w:r>
      <w:r w:rsidR="00CB1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 seguenti, </w:t>
      </w:r>
      <w:r w:rsidR="006D0480" w:rsidRPr="006D0480">
        <w:rPr>
          <w:rFonts w:ascii="Times New Roman" w:hAnsi="Times New Roman" w:cs="Times New Roman"/>
          <w:b/>
          <w:color w:val="000000"/>
          <w:sz w:val="24"/>
          <w:szCs w:val="24"/>
        </w:rPr>
        <w:t>su Malvasia e Vasari rispetto al Francia)</w:t>
      </w:r>
      <w:r w:rsidR="006D0480" w:rsidRPr="006D048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TESTO DISPONIBILE IN SCANSIONE</w:t>
      </w:r>
    </w:p>
    <w:p w:rsidR="00890D75" w:rsidRPr="006D0480" w:rsidRDefault="00890D75" w:rsidP="006666E9">
      <w:pPr>
        <w:rPr>
          <w:rFonts w:ascii="Times New Roman" w:hAnsi="Times New Roman" w:cs="Times New Roman"/>
          <w:sz w:val="24"/>
          <w:szCs w:val="24"/>
        </w:rPr>
      </w:pPr>
    </w:p>
    <w:p w:rsidR="006666E9" w:rsidRPr="006666E9" w:rsidRDefault="006666E9" w:rsidP="00CC2C43">
      <w:pPr>
        <w:rPr>
          <w:rFonts w:ascii="Times New Roman" w:hAnsi="Times New Roman" w:cs="Times New Roman"/>
          <w:b/>
          <w:sz w:val="24"/>
          <w:szCs w:val="24"/>
        </w:rPr>
      </w:pPr>
    </w:p>
    <w:sectPr w:rsidR="006666E9" w:rsidRPr="006666E9" w:rsidSect="007D5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6965"/>
    <w:multiLevelType w:val="hybridMultilevel"/>
    <w:tmpl w:val="5158291A"/>
    <w:lvl w:ilvl="0" w:tplc="464EA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CE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ED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A1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A8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43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C7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28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C0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EB755F"/>
    <w:multiLevelType w:val="hybridMultilevel"/>
    <w:tmpl w:val="0BEA8DF2"/>
    <w:lvl w:ilvl="0" w:tplc="DF86C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2A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0B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8E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6F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A4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05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C7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6B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D869F9"/>
    <w:multiLevelType w:val="hybridMultilevel"/>
    <w:tmpl w:val="971E0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5595F"/>
    <w:multiLevelType w:val="hybridMultilevel"/>
    <w:tmpl w:val="98CA1D7C"/>
    <w:lvl w:ilvl="0" w:tplc="94C60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C5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6A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69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69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69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03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AD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E3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31766A5"/>
    <w:multiLevelType w:val="hybridMultilevel"/>
    <w:tmpl w:val="5EB4A69E"/>
    <w:lvl w:ilvl="0" w:tplc="A31876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F73231"/>
    <w:multiLevelType w:val="hybridMultilevel"/>
    <w:tmpl w:val="99D03B12"/>
    <w:lvl w:ilvl="0" w:tplc="6B2CE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E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49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4B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48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A3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06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0E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EB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3B77CA5"/>
    <w:multiLevelType w:val="hybridMultilevel"/>
    <w:tmpl w:val="709A5C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462B4"/>
    <w:multiLevelType w:val="hybridMultilevel"/>
    <w:tmpl w:val="E1C260F8"/>
    <w:lvl w:ilvl="0" w:tplc="92F07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6E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A3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47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66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66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81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EC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A6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4F3F"/>
    <w:multiLevelType w:val="hybridMultilevel"/>
    <w:tmpl w:val="B02AC36A"/>
    <w:lvl w:ilvl="0" w:tplc="3F04F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E1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42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E0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07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CB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86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82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69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4435D"/>
    <w:rsid w:val="00014123"/>
    <w:rsid w:val="000222A6"/>
    <w:rsid w:val="00127799"/>
    <w:rsid w:val="001644A9"/>
    <w:rsid w:val="00296EB3"/>
    <w:rsid w:val="002E60B3"/>
    <w:rsid w:val="003238E4"/>
    <w:rsid w:val="00385396"/>
    <w:rsid w:val="00403523"/>
    <w:rsid w:val="00436CEC"/>
    <w:rsid w:val="00437CFE"/>
    <w:rsid w:val="004717E7"/>
    <w:rsid w:val="00535EAB"/>
    <w:rsid w:val="005A6C39"/>
    <w:rsid w:val="005B7D6D"/>
    <w:rsid w:val="00606910"/>
    <w:rsid w:val="006666E9"/>
    <w:rsid w:val="006942F1"/>
    <w:rsid w:val="006C28E7"/>
    <w:rsid w:val="006C6206"/>
    <w:rsid w:val="006D0480"/>
    <w:rsid w:val="00797697"/>
    <w:rsid w:val="007D51B1"/>
    <w:rsid w:val="00804AA1"/>
    <w:rsid w:val="00832ACB"/>
    <w:rsid w:val="00865FA7"/>
    <w:rsid w:val="00890D75"/>
    <w:rsid w:val="00A33AC8"/>
    <w:rsid w:val="00B81F6A"/>
    <w:rsid w:val="00BB77FE"/>
    <w:rsid w:val="00BE2601"/>
    <w:rsid w:val="00BF124A"/>
    <w:rsid w:val="00C8058B"/>
    <w:rsid w:val="00C93C2D"/>
    <w:rsid w:val="00CB185F"/>
    <w:rsid w:val="00CC2C43"/>
    <w:rsid w:val="00D20670"/>
    <w:rsid w:val="00D2418B"/>
    <w:rsid w:val="00D30FCB"/>
    <w:rsid w:val="00ED4468"/>
    <w:rsid w:val="00EF007D"/>
    <w:rsid w:val="00F4435D"/>
    <w:rsid w:val="00F45071"/>
    <w:rsid w:val="00FA09F9"/>
    <w:rsid w:val="00FE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1B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7D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035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1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1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20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5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54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2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mofonte.it/autori/giorgio-vasari-1511-157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Galizzi</dc:creator>
  <cp:lastModifiedBy>Galizzi</cp:lastModifiedBy>
  <cp:revision>85</cp:revision>
  <dcterms:created xsi:type="dcterms:W3CDTF">2017-01-19T05:40:00Z</dcterms:created>
  <dcterms:modified xsi:type="dcterms:W3CDTF">2017-01-19T08:15:00Z</dcterms:modified>
</cp:coreProperties>
</file>