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A2" w:rsidRDefault="00C61BA2" w:rsidP="00C61BA2">
      <w:pPr>
        <w:jc w:val="center"/>
        <w:rPr>
          <w:b/>
        </w:rPr>
      </w:pPr>
    </w:p>
    <w:p w:rsidR="00C61BA2" w:rsidRPr="00275278" w:rsidRDefault="00183F13" w:rsidP="00C61BA2">
      <w:pPr>
        <w:jc w:val="center"/>
        <w:rPr>
          <w:b/>
        </w:rPr>
      </w:pPr>
      <w:r>
        <w:rPr>
          <w:b/>
        </w:rPr>
        <w:t>Schem</w:t>
      </w:r>
      <w:r w:rsidR="00C61BA2" w:rsidRPr="00275278">
        <w:rPr>
          <w:b/>
        </w:rPr>
        <w:t>a</w:t>
      </w:r>
      <w:r>
        <w:rPr>
          <w:b/>
        </w:rPr>
        <w:t xml:space="preserve"> di</w:t>
      </w:r>
      <w:r w:rsidR="00C61BA2" w:rsidRPr="00275278">
        <w:rPr>
          <w:b/>
        </w:rPr>
        <w:t xml:space="preserve"> corso</w:t>
      </w:r>
      <w:r w:rsidR="00CD3613">
        <w:rPr>
          <w:b/>
        </w:rPr>
        <w:t xml:space="preserve"> </w:t>
      </w:r>
      <w:bookmarkStart w:id="0" w:name="_GoBack"/>
      <w:bookmarkEnd w:id="0"/>
      <w:r w:rsidR="00CD3613">
        <w:rPr>
          <w:b/>
        </w:rPr>
        <w:t>magistrale di</w:t>
      </w:r>
      <w:r w:rsidR="00C61BA2" w:rsidRPr="00275278">
        <w:rPr>
          <w:b/>
        </w:rPr>
        <w:t xml:space="preserve"> storia della storiografia 2014-15</w:t>
      </w:r>
    </w:p>
    <w:p w:rsidR="00C61BA2" w:rsidRDefault="00CD3613" w:rsidP="00CD3613">
      <w:pPr>
        <w:jc w:val="center"/>
      </w:pPr>
      <w:r>
        <w:t xml:space="preserve">Prof. Gian Paolo </w:t>
      </w:r>
      <w:proofErr w:type="spellStart"/>
      <w:r>
        <w:t>Romagnani</w:t>
      </w:r>
      <w:proofErr w:type="spellEnd"/>
    </w:p>
    <w:p w:rsidR="00CD3613" w:rsidRDefault="00CD3613" w:rsidP="00CD3613">
      <w:pPr>
        <w:jc w:val="center"/>
      </w:pPr>
    </w:p>
    <w:p w:rsidR="00C61BA2" w:rsidRDefault="00C61BA2" w:rsidP="00C61BA2">
      <w:pPr>
        <w:jc w:val="center"/>
        <w:rPr>
          <w:b/>
          <w:i/>
          <w:sz w:val="28"/>
          <w:szCs w:val="28"/>
        </w:rPr>
      </w:pPr>
      <w:r w:rsidRPr="00C61BA2">
        <w:rPr>
          <w:b/>
          <w:i/>
          <w:sz w:val="28"/>
          <w:szCs w:val="28"/>
        </w:rPr>
        <w:t>Gli storici e la Grande Guerra</w:t>
      </w:r>
    </w:p>
    <w:p w:rsidR="004C1141" w:rsidRPr="00C61BA2" w:rsidRDefault="004C1141" w:rsidP="00C61BA2">
      <w:pPr>
        <w:jc w:val="center"/>
        <w:rPr>
          <w:sz w:val="28"/>
          <w:szCs w:val="28"/>
        </w:rPr>
      </w:pPr>
    </w:p>
    <w:p w:rsidR="00C61BA2" w:rsidRPr="00CD3613" w:rsidRDefault="00C61BA2" w:rsidP="00CD3613">
      <w:pPr>
        <w:rPr>
          <w:b/>
        </w:rPr>
      </w:pPr>
      <w:r w:rsidRPr="00CD3613">
        <w:rPr>
          <w:b/>
        </w:rPr>
        <w:t>Le premesse</w:t>
      </w:r>
    </w:p>
    <w:p w:rsidR="00C61BA2" w:rsidRDefault="00C61BA2" w:rsidP="00CD3613">
      <w:pPr>
        <w:pStyle w:val="Paragrafoelenco"/>
        <w:numPr>
          <w:ilvl w:val="0"/>
          <w:numId w:val="10"/>
        </w:numPr>
      </w:pPr>
      <w:r>
        <w:t xml:space="preserve">La Grande Guerra come cesura e categoria di periodizzazione. Eric </w:t>
      </w:r>
      <w:proofErr w:type="spellStart"/>
      <w:r>
        <w:t>Hobsbawm</w:t>
      </w:r>
      <w:proofErr w:type="spellEnd"/>
      <w:r>
        <w:t xml:space="preserve"> e il “secolo breve”</w:t>
      </w:r>
    </w:p>
    <w:p w:rsidR="00C61BA2" w:rsidRDefault="00C61BA2" w:rsidP="00CD3613">
      <w:pPr>
        <w:pStyle w:val="Paragrafoelenco"/>
        <w:numPr>
          <w:ilvl w:val="0"/>
          <w:numId w:val="10"/>
        </w:numPr>
      </w:pPr>
      <w:r>
        <w:t xml:space="preserve">Idee di Europa fra ‘700 e ‘800.  </w:t>
      </w:r>
    </w:p>
    <w:p w:rsidR="00C61BA2" w:rsidRDefault="00C61BA2" w:rsidP="00CD3613">
      <w:pPr>
        <w:pStyle w:val="Paragrafoelenco"/>
        <w:numPr>
          <w:ilvl w:val="0"/>
          <w:numId w:val="10"/>
        </w:numPr>
      </w:pPr>
      <w:r>
        <w:t>L’Europa delle nazioni. La storiografia e la costruzione dell’identità nazionale</w:t>
      </w:r>
    </w:p>
    <w:p w:rsidR="00016D18" w:rsidRDefault="00016D18" w:rsidP="00CD3613">
      <w:pPr>
        <w:pStyle w:val="Paragrafoelenco"/>
        <w:numPr>
          <w:ilvl w:val="0"/>
          <w:numId w:val="10"/>
        </w:numPr>
      </w:pPr>
      <w:r>
        <w:t xml:space="preserve">Alle origini del conflitto di civiltà: </w:t>
      </w:r>
      <w:proofErr w:type="spellStart"/>
      <w:r w:rsidRPr="00016D18">
        <w:rPr>
          <w:i/>
        </w:rPr>
        <w:t>Civilization</w:t>
      </w:r>
      <w:proofErr w:type="spellEnd"/>
      <w:r>
        <w:t xml:space="preserve"> o </w:t>
      </w:r>
      <w:proofErr w:type="spellStart"/>
      <w:r w:rsidRPr="00016D18">
        <w:rPr>
          <w:i/>
        </w:rPr>
        <w:t>Kultur</w:t>
      </w:r>
      <w:proofErr w:type="spellEnd"/>
      <w:r>
        <w:t>?</w:t>
      </w:r>
    </w:p>
    <w:p w:rsidR="00C61BA2" w:rsidRPr="00C61BA2" w:rsidRDefault="00C61BA2" w:rsidP="00CD3613">
      <w:pPr>
        <w:pStyle w:val="Paragrafoelenco"/>
        <w:numPr>
          <w:ilvl w:val="0"/>
          <w:numId w:val="10"/>
        </w:numPr>
      </w:pPr>
      <w:r>
        <w:t xml:space="preserve">Un precedente: la guerra franco prussiana del 1870 e la polemica </w:t>
      </w:r>
      <w:proofErr w:type="spellStart"/>
      <w:r>
        <w:t>Fustel-Mommsen</w:t>
      </w:r>
      <w:proofErr w:type="spellEnd"/>
    </w:p>
    <w:p w:rsidR="00C61BA2" w:rsidRPr="00CD3613" w:rsidRDefault="00C61BA2" w:rsidP="00CD3613">
      <w:pPr>
        <w:rPr>
          <w:b/>
        </w:rPr>
      </w:pPr>
      <w:r w:rsidRPr="00CD3613">
        <w:rPr>
          <w:b/>
        </w:rPr>
        <w:t>I due decenni anteguerra. La “grande illusione”</w:t>
      </w:r>
    </w:p>
    <w:p w:rsidR="00C61BA2" w:rsidRDefault="00C61BA2" w:rsidP="00CD3613">
      <w:pPr>
        <w:pStyle w:val="Paragrafoelenco"/>
        <w:numPr>
          <w:ilvl w:val="0"/>
          <w:numId w:val="10"/>
        </w:numPr>
      </w:pPr>
      <w:r>
        <w:t>Società storiche e congressi storici internazionali (1898-1913). La nascita di una comunità scientifica internazionale fra ‘800 e ‘900</w:t>
      </w:r>
    </w:p>
    <w:p w:rsidR="00C61BA2" w:rsidRDefault="00C61BA2" w:rsidP="00CD3613">
      <w:pPr>
        <w:pStyle w:val="Paragrafoelenco"/>
        <w:numPr>
          <w:ilvl w:val="0"/>
          <w:numId w:val="10"/>
        </w:numPr>
      </w:pPr>
      <w:r>
        <w:t>La «</w:t>
      </w:r>
      <w:proofErr w:type="spellStart"/>
      <w:r>
        <w:t>Revue</w:t>
      </w:r>
      <w:proofErr w:type="spellEnd"/>
      <w:r>
        <w:t xml:space="preserve"> de </w:t>
      </w:r>
      <w:proofErr w:type="spellStart"/>
      <w:r>
        <w:t>Syntèse</w:t>
      </w:r>
      <w:proofErr w:type="spellEnd"/>
      <w:r>
        <w:t xml:space="preserve">» di Henri </w:t>
      </w:r>
      <w:proofErr w:type="spellStart"/>
      <w:r>
        <w:t>Berr</w:t>
      </w:r>
      <w:proofErr w:type="spellEnd"/>
      <w:r>
        <w:t xml:space="preserve"> come palestra interdisciplinare e internazionale</w:t>
      </w:r>
    </w:p>
    <w:p w:rsidR="00C61BA2" w:rsidRDefault="00C61BA2" w:rsidP="00CD3613">
      <w:pPr>
        <w:pStyle w:val="Paragrafoelenco"/>
        <w:numPr>
          <w:ilvl w:val="0"/>
          <w:numId w:val="10"/>
        </w:numPr>
      </w:pPr>
      <w:r>
        <w:t>L’effimera avventura di “Studi Storici” (1892-1913)</w:t>
      </w:r>
    </w:p>
    <w:p w:rsidR="00C61BA2" w:rsidRPr="00CD3613" w:rsidRDefault="00C61BA2" w:rsidP="00CD3613">
      <w:pPr>
        <w:rPr>
          <w:b/>
        </w:rPr>
      </w:pPr>
      <w:r w:rsidRPr="00CD3613">
        <w:rPr>
          <w:b/>
        </w:rPr>
        <w:t>Gli storici mobilitati. Storiografia e propaganda bellica</w:t>
      </w:r>
    </w:p>
    <w:p w:rsidR="00C61BA2" w:rsidRPr="00B474EF" w:rsidRDefault="00C61BA2" w:rsidP="00CD3613">
      <w:pPr>
        <w:pStyle w:val="Paragrafoelenco"/>
        <w:numPr>
          <w:ilvl w:val="0"/>
          <w:numId w:val="10"/>
        </w:numPr>
      </w:pPr>
      <w:r>
        <w:t xml:space="preserve">Gli storici </w:t>
      </w:r>
      <w:r w:rsidR="0038773F">
        <w:t xml:space="preserve">tedeschi </w:t>
      </w:r>
      <w:r>
        <w:t xml:space="preserve">al servizio della guerra: </w:t>
      </w:r>
      <w:proofErr w:type="spellStart"/>
      <w:r>
        <w:t>Wilamowitz</w:t>
      </w:r>
      <w:proofErr w:type="spellEnd"/>
      <w:r>
        <w:t xml:space="preserve">, </w:t>
      </w:r>
      <w:proofErr w:type="spellStart"/>
      <w:r>
        <w:t>Schmoller</w:t>
      </w:r>
      <w:proofErr w:type="spellEnd"/>
      <w:r>
        <w:t xml:space="preserve">, </w:t>
      </w:r>
      <w:proofErr w:type="spellStart"/>
      <w:r>
        <w:t>Lamprecht</w:t>
      </w:r>
      <w:proofErr w:type="spellEnd"/>
      <w:r>
        <w:t xml:space="preserve">, </w:t>
      </w:r>
      <w:proofErr w:type="spellStart"/>
      <w:r>
        <w:t>Meinecke</w:t>
      </w:r>
      <w:proofErr w:type="spellEnd"/>
      <w:r>
        <w:t xml:space="preserve">, </w:t>
      </w:r>
      <w:proofErr w:type="spellStart"/>
      <w:r>
        <w:t>Hintze</w:t>
      </w:r>
      <w:proofErr w:type="spellEnd"/>
      <w:r>
        <w:t xml:space="preserve"> e  l’</w:t>
      </w:r>
      <w:proofErr w:type="spellStart"/>
      <w:r w:rsidRPr="00C61BA2">
        <w:rPr>
          <w:i/>
        </w:rPr>
        <w:t>Aufruf</w:t>
      </w:r>
      <w:proofErr w:type="spellEnd"/>
      <w:r w:rsidRPr="00C61BA2">
        <w:rPr>
          <w:i/>
        </w:rPr>
        <w:t xml:space="preserve"> an die </w:t>
      </w:r>
      <w:proofErr w:type="spellStart"/>
      <w:r w:rsidRPr="00C61BA2">
        <w:rPr>
          <w:i/>
        </w:rPr>
        <w:t>Kulturwelt</w:t>
      </w:r>
      <w:proofErr w:type="spellEnd"/>
      <w:r w:rsidRPr="00C61BA2">
        <w:rPr>
          <w:i/>
        </w:rPr>
        <w:t xml:space="preserve"> </w:t>
      </w:r>
      <w:r>
        <w:t>(1914)</w:t>
      </w:r>
    </w:p>
    <w:p w:rsidR="00C61BA2" w:rsidRPr="00C61BA2" w:rsidRDefault="00C61BA2" w:rsidP="00CD3613">
      <w:pPr>
        <w:pStyle w:val="Paragrafoelenco"/>
        <w:numPr>
          <w:ilvl w:val="0"/>
          <w:numId w:val="10"/>
        </w:numPr>
      </w:pPr>
      <w:r>
        <w:t>L’Ufficio Storiografico della mobilitazione (1916-1926)</w:t>
      </w:r>
    </w:p>
    <w:p w:rsidR="00C61BA2" w:rsidRPr="00CD3613" w:rsidRDefault="00C61BA2" w:rsidP="00CD3613">
      <w:pPr>
        <w:rPr>
          <w:b/>
        </w:rPr>
      </w:pPr>
      <w:r w:rsidRPr="00CD3613">
        <w:rPr>
          <w:b/>
        </w:rPr>
        <w:t>Percorsi italiani:</w:t>
      </w:r>
    </w:p>
    <w:p w:rsidR="00C61BA2" w:rsidRPr="00275278" w:rsidRDefault="00C61BA2" w:rsidP="00CD3613">
      <w:pPr>
        <w:pStyle w:val="Paragrafoelenco"/>
        <w:numPr>
          <w:ilvl w:val="0"/>
          <w:numId w:val="10"/>
        </w:numPr>
      </w:pPr>
      <w:r>
        <w:t>La “Rassegna storica del Risorgimento” (1914) fra erudizione e propaganda</w:t>
      </w:r>
    </w:p>
    <w:p w:rsidR="00C61BA2" w:rsidRDefault="00C61BA2" w:rsidP="00CD3613">
      <w:pPr>
        <w:pStyle w:val="Paragrafoelenco"/>
        <w:numPr>
          <w:ilvl w:val="0"/>
          <w:numId w:val="10"/>
        </w:numPr>
      </w:pPr>
      <w:r>
        <w:t>Un caso di studio. La storiografia trentina fra Italia e Germania</w:t>
      </w:r>
    </w:p>
    <w:p w:rsidR="00C61BA2" w:rsidRDefault="00C61BA2" w:rsidP="00CD3613">
      <w:pPr>
        <w:pStyle w:val="Paragrafoelenco"/>
        <w:numPr>
          <w:ilvl w:val="0"/>
          <w:numId w:val="10"/>
        </w:numPr>
      </w:pPr>
      <w:r>
        <w:t>Gaetano Salvemini: dall’interventismo all’antifascismo</w:t>
      </w:r>
    </w:p>
    <w:p w:rsidR="00C61BA2" w:rsidRDefault="00C61BA2" w:rsidP="00CD3613">
      <w:pPr>
        <w:pStyle w:val="Paragrafoelenco"/>
        <w:numPr>
          <w:ilvl w:val="0"/>
          <w:numId w:val="10"/>
        </w:numPr>
      </w:pPr>
      <w:r>
        <w:t>Gioacchino Volpe: dal medioevo alla storia contemporanea</w:t>
      </w:r>
    </w:p>
    <w:p w:rsidR="00C61BA2" w:rsidRDefault="00C61BA2" w:rsidP="00CD3613">
      <w:pPr>
        <w:pStyle w:val="Paragrafoelenco"/>
        <w:numPr>
          <w:ilvl w:val="0"/>
          <w:numId w:val="10"/>
        </w:numPr>
      </w:pPr>
      <w:r>
        <w:t xml:space="preserve">Due modelli interpretativi della storia italiana recente: G. Volpe, </w:t>
      </w:r>
      <w:r w:rsidRPr="00C61BA2">
        <w:rPr>
          <w:i/>
        </w:rPr>
        <w:t>Italia in cammino</w:t>
      </w:r>
      <w:r>
        <w:t xml:space="preserve"> (1927) e B. Croce, </w:t>
      </w:r>
      <w:r w:rsidRPr="00C61BA2">
        <w:rPr>
          <w:i/>
        </w:rPr>
        <w:t>Storia d’Italia dal 1871 al 1915</w:t>
      </w:r>
      <w:r>
        <w:t xml:space="preserve"> (1928). Nasce la storia contemporanea come disciplina</w:t>
      </w:r>
    </w:p>
    <w:p w:rsidR="00A83C82" w:rsidRPr="00CD3613" w:rsidRDefault="00A83C82" w:rsidP="00CD3613">
      <w:pPr>
        <w:rPr>
          <w:b/>
        </w:rPr>
      </w:pPr>
      <w:r w:rsidRPr="00CD3613">
        <w:rPr>
          <w:b/>
        </w:rPr>
        <w:t>Percorsi francesi e belgi:</w:t>
      </w:r>
    </w:p>
    <w:p w:rsidR="00A83C82" w:rsidRDefault="00A83C82" w:rsidP="00CD3613">
      <w:pPr>
        <w:pStyle w:val="Paragrafoelenco"/>
        <w:numPr>
          <w:ilvl w:val="0"/>
          <w:numId w:val="10"/>
        </w:numPr>
      </w:pPr>
      <w:r>
        <w:t xml:space="preserve">March Bloch storico e soldato: dalle memorie di guerra a </w:t>
      </w:r>
      <w:r w:rsidRPr="00A83C82">
        <w:rPr>
          <w:i/>
        </w:rPr>
        <w:t>La guerra e le false notizie</w:t>
      </w:r>
      <w:r>
        <w:t xml:space="preserve"> (1923)</w:t>
      </w:r>
      <w:r w:rsidRPr="00A83C82">
        <w:t xml:space="preserve"> </w:t>
      </w:r>
    </w:p>
    <w:p w:rsidR="00A83C82" w:rsidRDefault="00A83C82" w:rsidP="00CD3613">
      <w:pPr>
        <w:pStyle w:val="Paragrafoelenco"/>
        <w:numPr>
          <w:ilvl w:val="0"/>
          <w:numId w:val="10"/>
        </w:numPr>
      </w:pPr>
      <w:r>
        <w:t xml:space="preserve">Henri </w:t>
      </w:r>
      <w:proofErr w:type="spellStart"/>
      <w:r>
        <w:t>Pirenne</w:t>
      </w:r>
      <w:proofErr w:type="spellEnd"/>
      <w:r>
        <w:t xml:space="preserve"> prigioniero di guerra. L’</w:t>
      </w:r>
      <w:r>
        <w:rPr>
          <w:i/>
        </w:rPr>
        <w:t>Histoire de l’Europe</w:t>
      </w:r>
      <w:r>
        <w:t>: un progetto mancato</w:t>
      </w:r>
    </w:p>
    <w:p w:rsidR="00C61BA2" w:rsidRPr="00CD3613" w:rsidRDefault="00C61BA2" w:rsidP="00CD3613">
      <w:pPr>
        <w:rPr>
          <w:b/>
        </w:rPr>
      </w:pPr>
      <w:r w:rsidRPr="00CD3613">
        <w:rPr>
          <w:b/>
        </w:rPr>
        <w:t>Percorsi tedeschi:</w:t>
      </w:r>
    </w:p>
    <w:p w:rsidR="00C61BA2" w:rsidRPr="004C1141" w:rsidRDefault="00C61BA2" w:rsidP="00CD3613">
      <w:pPr>
        <w:pStyle w:val="Paragrafoelenco"/>
        <w:numPr>
          <w:ilvl w:val="0"/>
          <w:numId w:val="10"/>
        </w:numPr>
      </w:pPr>
      <w:r w:rsidRPr="00CD3613">
        <w:rPr>
          <w:lang w:val="en-US"/>
        </w:rPr>
        <w:t xml:space="preserve">Werner </w:t>
      </w:r>
      <w:proofErr w:type="spellStart"/>
      <w:r w:rsidRPr="00CD3613">
        <w:rPr>
          <w:lang w:val="en-US"/>
        </w:rPr>
        <w:t>Sombart</w:t>
      </w:r>
      <w:proofErr w:type="spellEnd"/>
      <w:r w:rsidRPr="00CD3613">
        <w:rPr>
          <w:lang w:val="en-US"/>
        </w:rPr>
        <w:t xml:space="preserve">, </w:t>
      </w:r>
      <w:proofErr w:type="spellStart"/>
      <w:r w:rsidRPr="00CD3613">
        <w:rPr>
          <w:i/>
          <w:lang w:val="en-US"/>
        </w:rPr>
        <w:t>Haendler</w:t>
      </w:r>
      <w:proofErr w:type="spellEnd"/>
      <w:r w:rsidRPr="00CD3613">
        <w:rPr>
          <w:i/>
          <w:lang w:val="en-US"/>
        </w:rPr>
        <w:t xml:space="preserve"> und </w:t>
      </w:r>
      <w:proofErr w:type="spellStart"/>
      <w:r w:rsidRPr="00CD3613">
        <w:rPr>
          <w:i/>
          <w:lang w:val="en-US"/>
        </w:rPr>
        <w:t>Helden</w:t>
      </w:r>
      <w:proofErr w:type="spellEnd"/>
      <w:r w:rsidRPr="00CD3613">
        <w:rPr>
          <w:lang w:val="en-US"/>
        </w:rPr>
        <w:t xml:space="preserve"> (1915)</w:t>
      </w:r>
      <w:r w:rsidR="004C1141" w:rsidRPr="00CD3613">
        <w:rPr>
          <w:lang w:val="en-US"/>
        </w:rPr>
        <w:t xml:space="preserve">. </w:t>
      </w:r>
      <w:r w:rsidR="004C1141">
        <w:t>La Germania contro l’Occidente</w:t>
      </w:r>
    </w:p>
    <w:p w:rsidR="00C61BA2" w:rsidRDefault="00016D18" w:rsidP="00CD3613">
      <w:pPr>
        <w:pStyle w:val="Paragrafoelenco"/>
        <w:numPr>
          <w:ilvl w:val="0"/>
          <w:numId w:val="10"/>
        </w:numPr>
      </w:pPr>
      <w:r>
        <w:t>Friedrich</w:t>
      </w:r>
      <w:r w:rsidR="00C61BA2" w:rsidRPr="00643C08">
        <w:t xml:space="preserve"> </w:t>
      </w:r>
      <w:proofErr w:type="spellStart"/>
      <w:r w:rsidR="00C61BA2" w:rsidRPr="00643C08">
        <w:t>Naumann</w:t>
      </w:r>
      <w:proofErr w:type="spellEnd"/>
      <w:r w:rsidR="00C61BA2" w:rsidRPr="00643C08">
        <w:t xml:space="preserve">, </w:t>
      </w:r>
      <w:proofErr w:type="spellStart"/>
      <w:r w:rsidR="00C61BA2" w:rsidRPr="00C61BA2">
        <w:rPr>
          <w:i/>
        </w:rPr>
        <w:t>Mitteleuropa</w:t>
      </w:r>
      <w:proofErr w:type="spellEnd"/>
      <w:r w:rsidR="00C61BA2" w:rsidRPr="00643C08">
        <w:t xml:space="preserve"> (1915)</w:t>
      </w:r>
      <w:r w:rsidR="004C1141">
        <w:t>. Un ideale egemonico</w:t>
      </w:r>
    </w:p>
    <w:p w:rsidR="00C61BA2" w:rsidRDefault="00C61BA2" w:rsidP="00CD3613">
      <w:pPr>
        <w:pStyle w:val="Paragrafoelenco"/>
        <w:numPr>
          <w:ilvl w:val="0"/>
          <w:numId w:val="10"/>
        </w:numPr>
      </w:pPr>
      <w:proofErr w:type="spellStart"/>
      <w:r>
        <w:lastRenderedPageBreak/>
        <w:t>Max</w:t>
      </w:r>
      <w:proofErr w:type="spellEnd"/>
      <w:r>
        <w:t xml:space="preserve"> Weber fra accademia e politica</w:t>
      </w:r>
    </w:p>
    <w:p w:rsidR="00C61BA2" w:rsidRPr="00CD3613" w:rsidRDefault="00C61BA2" w:rsidP="00CD3613">
      <w:pPr>
        <w:rPr>
          <w:b/>
        </w:rPr>
      </w:pPr>
      <w:r w:rsidRPr="00CD3613">
        <w:rPr>
          <w:b/>
        </w:rPr>
        <w:t>Il dopoguerra</w:t>
      </w:r>
    </w:p>
    <w:p w:rsidR="0038773F" w:rsidRDefault="0038773F" w:rsidP="00CD3613">
      <w:pPr>
        <w:pStyle w:val="Paragrafoelenco"/>
        <w:numPr>
          <w:ilvl w:val="0"/>
          <w:numId w:val="10"/>
        </w:numPr>
      </w:pPr>
      <w:r>
        <w:t>L’università di Strasburgo come risposta alle divisioni della guerra (1919-39)</w:t>
      </w:r>
    </w:p>
    <w:p w:rsidR="00C61BA2" w:rsidRDefault="00C61BA2" w:rsidP="00CD3613">
      <w:pPr>
        <w:pStyle w:val="Paragrafoelenco"/>
        <w:numPr>
          <w:ilvl w:val="0"/>
          <w:numId w:val="10"/>
        </w:numPr>
      </w:pPr>
      <w:r>
        <w:t>Bruxelles 1923:  il V Congresso internazionale di Scienze storiche senza i tedeschi</w:t>
      </w:r>
    </w:p>
    <w:p w:rsidR="0038773F" w:rsidRDefault="00C61BA2" w:rsidP="00CD3613">
      <w:pPr>
        <w:pStyle w:val="Paragrafoelenco"/>
        <w:numPr>
          <w:ilvl w:val="0"/>
          <w:numId w:val="10"/>
        </w:numPr>
      </w:pPr>
      <w:r>
        <w:t>Oslo 1928: i tedeschi riammessi ai congressi storici</w:t>
      </w:r>
      <w:r w:rsidR="0038773F" w:rsidRPr="0038773F">
        <w:t xml:space="preserve"> </w:t>
      </w:r>
    </w:p>
    <w:p w:rsidR="00C61BA2" w:rsidRDefault="0038773F" w:rsidP="00CD3613">
      <w:pPr>
        <w:pStyle w:val="Paragrafoelenco"/>
        <w:numPr>
          <w:ilvl w:val="0"/>
          <w:numId w:val="10"/>
        </w:numPr>
      </w:pPr>
      <w:r>
        <w:t>La nascita delle “Annales” (1929)</w:t>
      </w:r>
    </w:p>
    <w:p w:rsidR="00C61BA2" w:rsidRPr="00CD3613" w:rsidRDefault="00C61BA2" w:rsidP="00CD3613">
      <w:pPr>
        <w:rPr>
          <w:b/>
        </w:rPr>
      </w:pPr>
      <w:r w:rsidRPr="00CD3613">
        <w:rPr>
          <w:b/>
        </w:rPr>
        <w:t>La storiografia delle nuove nazioni:</w:t>
      </w:r>
    </w:p>
    <w:p w:rsidR="00C61BA2" w:rsidRDefault="00C61BA2" w:rsidP="00CD3613">
      <w:pPr>
        <w:pStyle w:val="Paragrafoelenco"/>
        <w:numPr>
          <w:ilvl w:val="0"/>
          <w:numId w:val="10"/>
        </w:numPr>
      </w:pPr>
      <w:r>
        <w:t>La storiografia russa prima e dopo la rivoluzione d’ottobre</w:t>
      </w:r>
    </w:p>
    <w:p w:rsidR="00C61BA2" w:rsidRPr="00643C08" w:rsidRDefault="00C61BA2" w:rsidP="00CD3613">
      <w:pPr>
        <w:pStyle w:val="Paragrafoelenco"/>
        <w:numPr>
          <w:ilvl w:val="0"/>
          <w:numId w:val="10"/>
        </w:numPr>
      </w:pPr>
      <w:r w:rsidRPr="00643C08">
        <w:t xml:space="preserve">La rinascita della Polonia: Oskar </w:t>
      </w:r>
      <w:proofErr w:type="spellStart"/>
      <w:r w:rsidRPr="00643C08">
        <w:t>Halecki</w:t>
      </w:r>
      <w:proofErr w:type="spellEnd"/>
      <w:r w:rsidRPr="00643C08">
        <w:t xml:space="preserve">, </w:t>
      </w:r>
      <w:proofErr w:type="spellStart"/>
      <w:r w:rsidRPr="00643C08">
        <w:t>Rutkowski</w:t>
      </w:r>
      <w:proofErr w:type="spellEnd"/>
    </w:p>
    <w:p w:rsidR="00C61BA2" w:rsidRDefault="00C61BA2" w:rsidP="00CD3613">
      <w:pPr>
        <w:pStyle w:val="Paragrafoelenco"/>
        <w:numPr>
          <w:ilvl w:val="0"/>
          <w:numId w:val="10"/>
        </w:numPr>
      </w:pPr>
      <w:r>
        <w:t xml:space="preserve">La storiografia cecoslovacca: </w:t>
      </w:r>
      <w:proofErr w:type="spellStart"/>
      <w:r>
        <w:t>Masaryk</w:t>
      </w:r>
      <w:proofErr w:type="spellEnd"/>
    </w:p>
    <w:p w:rsidR="00C61BA2" w:rsidRDefault="00C61BA2" w:rsidP="00CD3613">
      <w:pPr>
        <w:pStyle w:val="Paragrafoelenco"/>
        <w:numPr>
          <w:ilvl w:val="0"/>
          <w:numId w:val="10"/>
        </w:numPr>
      </w:pPr>
      <w:r>
        <w:t xml:space="preserve">La storiografia rumena: Nicolae </w:t>
      </w:r>
      <w:proofErr w:type="spellStart"/>
      <w:r>
        <w:t>Jorga</w:t>
      </w:r>
      <w:proofErr w:type="spellEnd"/>
      <w:r>
        <w:t xml:space="preserve"> e la rilettura della civiltà bizantina</w:t>
      </w:r>
    </w:p>
    <w:p w:rsidR="00C61BA2" w:rsidRDefault="00C61BA2" w:rsidP="00CD3613">
      <w:pPr>
        <w:pStyle w:val="Paragrafoelenco"/>
        <w:numPr>
          <w:ilvl w:val="0"/>
          <w:numId w:val="10"/>
        </w:numPr>
      </w:pPr>
      <w:r>
        <w:t xml:space="preserve">L’esempio svizzero: </w:t>
      </w:r>
      <w:proofErr w:type="spellStart"/>
      <w:r>
        <w:t>Werner</w:t>
      </w:r>
      <w:proofErr w:type="spellEnd"/>
      <w:r>
        <w:t xml:space="preserve"> </w:t>
      </w:r>
      <w:proofErr w:type="spellStart"/>
      <w:r>
        <w:t>Kaegi</w:t>
      </w:r>
      <w:proofErr w:type="spellEnd"/>
    </w:p>
    <w:p w:rsidR="00C61BA2" w:rsidRPr="00CD3613" w:rsidRDefault="00C61BA2" w:rsidP="00CD3613">
      <w:pPr>
        <w:rPr>
          <w:b/>
        </w:rPr>
      </w:pPr>
      <w:r w:rsidRPr="00CD3613">
        <w:rPr>
          <w:b/>
        </w:rPr>
        <w:t>Conclusione</w:t>
      </w:r>
    </w:p>
    <w:p w:rsidR="00C61BA2" w:rsidRDefault="00C61BA2" w:rsidP="00CD3613">
      <w:pPr>
        <w:pStyle w:val="Paragrafoelenco"/>
        <w:numPr>
          <w:ilvl w:val="0"/>
          <w:numId w:val="10"/>
        </w:numPr>
      </w:pPr>
      <w:r>
        <w:t>La storiografia europea fra le due guerre. L’Europa come rifugio</w:t>
      </w:r>
    </w:p>
    <w:p w:rsidR="00C61BA2" w:rsidRPr="00643C08" w:rsidRDefault="00C61BA2" w:rsidP="00C61BA2"/>
    <w:p w:rsidR="00CD3613" w:rsidRDefault="00CD3613"/>
    <w:p w:rsidR="00CD3613" w:rsidRDefault="00CD3613">
      <w:r>
        <w:t>18 lezioni 36 ore</w:t>
      </w:r>
    </w:p>
    <w:p w:rsidR="00CD3613" w:rsidRDefault="00CD3613"/>
    <w:sectPr w:rsidR="00CD3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213A"/>
    <w:multiLevelType w:val="hybridMultilevel"/>
    <w:tmpl w:val="C76E58B2"/>
    <w:lvl w:ilvl="0" w:tplc="52DA0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004E6"/>
    <w:multiLevelType w:val="hybridMultilevel"/>
    <w:tmpl w:val="22E0338C"/>
    <w:lvl w:ilvl="0" w:tplc="52DA0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C46C5"/>
    <w:multiLevelType w:val="hybridMultilevel"/>
    <w:tmpl w:val="89BA4652"/>
    <w:lvl w:ilvl="0" w:tplc="52DA0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B9A"/>
    <w:multiLevelType w:val="hybridMultilevel"/>
    <w:tmpl w:val="69185610"/>
    <w:lvl w:ilvl="0" w:tplc="52DA0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23742"/>
    <w:multiLevelType w:val="hybridMultilevel"/>
    <w:tmpl w:val="52E20D5A"/>
    <w:lvl w:ilvl="0" w:tplc="52DA0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E3FAE"/>
    <w:multiLevelType w:val="hybridMultilevel"/>
    <w:tmpl w:val="4F141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C7942"/>
    <w:multiLevelType w:val="hybridMultilevel"/>
    <w:tmpl w:val="5EDA4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8601D"/>
    <w:multiLevelType w:val="hybridMultilevel"/>
    <w:tmpl w:val="163AEF4E"/>
    <w:lvl w:ilvl="0" w:tplc="52DA0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744FD"/>
    <w:multiLevelType w:val="hybridMultilevel"/>
    <w:tmpl w:val="DA767C9C"/>
    <w:lvl w:ilvl="0" w:tplc="52DA0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101B6"/>
    <w:multiLevelType w:val="hybridMultilevel"/>
    <w:tmpl w:val="C26C1AB0"/>
    <w:lvl w:ilvl="0" w:tplc="52DA0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FD"/>
    <w:rsid w:val="00016D18"/>
    <w:rsid w:val="00183F13"/>
    <w:rsid w:val="001F649E"/>
    <w:rsid w:val="00307BFD"/>
    <w:rsid w:val="0038773F"/>
    <w:rsid w:val="004C1141"/>
    <w:rsid w:val="00A83C82"/>
    <w:rsid w:val="00BE1182"/>
    <w:rsid w:val="00C61BA2"/>
    <w:rsid w:val="00C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B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1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B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1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Gian Paolo Romagnani</cp:lastModifiedBy>
  <cp:revision>6</cp:revision>
  <dcterms:created xsi:type="dcterms:W3CDTF">2014-07-03T11:16:00Z</dcterms:created>
  <dcterms:modified xsi:type="dcterms:W3CDTF">2014-11-13T12:34:00Z</dcterms:modified>
</cp:coreProperties>
</file>