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BA" w:rsidRPr="00237FCA" w:rsidRDefault="00F944BA" w:rsidP="00237FCA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Garamond" w:hAnsi="Garamond" w:cs="Times-Bold"/>
          <w:b/>
          <w:bCs/>
          <w:smallCaps/>
          <w:color w:val="000000"/>
          <w:sz w:val="28"/>
          <w:szCs w:val="28"/>
          <w:lang w:val="it-IT"/>
        </w:rPr>
      </w:pPr>
      <w:r w:rsidRPr="00237FCA">
        <w:rPr>
          <w:rFonts w:ascii="Garamond" w:hAnsi="Garamond" w:cs="Times-Bold"/>
          <w:b/>
          <w:bCs/>
          <w:smallCaps/>
          <w:color w:val="000000"/>
          <w:sz w:val="28"/>
          <w:szCs w:val="28"/>
          <w:lang w:val="it-IT"/>
        </w:rPr>
        <w:t>Il mutamento sintattico</w:t>
      </w:r>
    </w:p>
    <w:p w:rsidR="00237FCA" w:rsidRDefault="00237FC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1 Introduzione: problemi generali della sintassi storica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1.1 La sintassi</w:t>
      </w:r>
    </w:p>
    <w:p w:rsid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sintassi si occupa dell’analisi dei meccanismi in base ai quali vengono stabilite delle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relazioni tra le parole all'interno di una frase (studio delle costruzioni grammaticali,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come l’ordine delle parole, i problemi di accordo, i problemi di selezione). La sintassi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ha una relazione stretta con altri aspetti della linguistica: con la semantica, la prosodia,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morfologia, il lessico.</w:t>
      </w:r>
    </w:p>
    <w:p w:rsidR="0001474C" w:rsidRPr="00F944BA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I componenti principali della sintassi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Le parole raggruppate in categorie (le diverse categorie si differenziano in base alla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morfologia o in base alla loro distribuzione). Le categorie sintattiche non corrispondono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alle categorie semantiche.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Incontrerò l’amico di Piero. Ne incontrerò l’amico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: ‘ne’ dal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punto di vista semantico è legato a ‘l’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amico’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dal punto di vista sintattico, invece, al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verbo.</w:t>
      </w:r>
    </w:p>
    <w:p w:rsidR="00F944BA" w:rsidRP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Tra le parole si determinano varie strutture, relazioni. In una sequenza di parole si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possono fare raggruppamenti in maniere diverse. Per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la frase nucleare italiana è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composta da un SN e un SV. Il SN è uno degli argomenti del verbo. Il raggruppamento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fino ad un certo punto si fa anche intuitivamente: 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ab/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(2)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Incontrerò</w:t>
      </w: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>½</w:t>
      </w:r>
      <w:proofErr w:type="spellEnd"/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l’amico di Piero.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1.2 La sintassi in rapporto con altri campi linguistici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La semantica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(3a) Ho visto Maria. (3b) Maria l’ho vista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: Costruzioni diverse con significato diverso.</w:t>
      </w:r>
    </w:p>
    <w:p w:rsidR="0003604D" w:rsidRDefault="00F944BA" w:rsidP="0003604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(4a) Ho scritto una lettera. (4b)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Epistulam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scriptam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habeo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: 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frase italiana è la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derivazione storica di quella latina, ma la costruzione e anche il significato è diverso, il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cambiamento semantico è accompagnato dal cambiamento sintattico. La semantica è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una delle più importanti cause del cambiamento sintattico.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Fonologia, in particolare la prosodia</w:t>
      </w:r>
    </w:p>
    <w:p w:rsidR="0003604D" w:rsidRDefault="00F944BA" w:rsidP="00036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(5a) Piero vede Maria. (5b) PIERO vede Maria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: </w:t>
      </w:r>
    </w:p>
    <w:p w:rsidR="00237FCA" w:rsidRDefault="00F944BA" w:rsidP="00237FC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pronuncia con enfasi permette 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‘Piero’ di essere sia il soggetto che l’oggetto della frase. La differenza nell’intonazione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è legata alla differenza del significato.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Nella linguistica storica è difficile prendere in considerazione la prosodia; la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versificazione è una delle rare possibilità: </w:t>
      </w:r>
    </w:p>
    <w:p w:rsidR="00F944BA" w:rsidRPr="00F944BA" w:rsidRDefault="00F944BA" w:rsidP="00237FCA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(6) Ceste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bataile|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veirement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la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ferun</w:t>
      </w:r>
      <w:proofErr w:type="spellEnd"/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(Chanson de Roland).</w:t>
      </w:r>
    </w:p>
    <w:p w:rsidR="00F944BA" w:rsidRPr="00F944BA" w:rsidRDefault="00F944BA" w:rsidP="00237FCA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(7a) Piero mangia la minestra.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(SVO)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(7b) LA MINESTRA mangia Piero.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(OVS)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La prosodia ci aiuta a capire se l’ordine è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marcato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o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non-marcato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(l’ordine “neutro”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delle parole).</w:t>
      </w:r>
    </w:p>
    <w:p w:rsidR="00F944BA" w:rsidRPr="00F944BA" w:rsidRDefault="00237FC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proofErr w:type="spellStart"/>
      <w:r>
        <w:rPr>
          <w:rFonts w:ascii="Garamond" w:hAnsi="Garamond" w:cs="Times-Roman"/>
          <w:color w:val="000000"/>
          <w:sz w:val="24"/>
          <w:szCs w:val="24"/>
          <w:lang w:val="it-IT"/>
        </w:rPr>
        <w:t>*</w:t>
      </w:r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</w:t>
      </w:r>
      <w:proofErr w:type="spellEnd"/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marcatezza</w:t>
      </w:r>
      <w:proofErr w:type="spellEnd"/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: in una coppia di opposizione l’elemento marcato è di us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o meno frequente ed in contesto </w:t>
      </w:r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non neutro; il membro ‘non marcato’ sarà quello più frequente ed adoperato anche in contesti neutri.</w:t>
      </w:r>
      <w:r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Oltre a questa accezione, si parla anche di ‘</w:t>
      </w:r>
      <w:proofErr w:type="spellStart"/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marcatezza</w:t>
      </w:r>
      <w:proofErr w:type="spellEnd"/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tipologica’: in questo caso, si definirà ‘non</w:t>
      </w:r>
      <w:r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marcato’ l’elemento che ricorre più spesso a livello tipologico.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Morfologia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morfologia e la sintassi hanno lo stesso lavoro, si dividono il campo. In certi casi si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possono sostituire all’interno della stessa lingua:</w:t>
      </w:r>
    </w:p>
    <w:p w:rsidR="00F944BA" w:rsidRPr="00F944BA" w:rsidRDefault="00F944BA" w:rsidP="0023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(7) cantai, ho cantato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(espressione del passato in italiano)</w:t>
      </w:r>
    </w:p>
    <w:p w:rsidR="00F944BA" w:rsidRPr="00F944BA" w:rsidRDefault="00F944BA" w:rsidP="0023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(8)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Marilei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, lui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Petru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(espressione del dativo in rumeno)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Si possono sostituire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diacronicamente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:</w:t>
      </w:r>
    </w:p>
    <w:p w:rsidR="00F944BA" w:rsidRPr="00F944BA" w:rsidRDefault="00F944BA" w:rsidP="0023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(8)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cecinerim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®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abbia cantato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(a forma morfologica va in disuso e viene sostituita da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una costruzione sintattica)</w:t>
      </w:r>
    </w:p>
    <w:p w:rsidR="00F944BA" w:rsidRPr="00F944BA" w:rsidRDefault="00F944BA" w:rsidP="00237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(9) DARE + HABEO </w:t>
      </w: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®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darò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Lessico</w:t>
      </w:r>
    </w:p>
    <w:p w:rsidR="00F944BA" w:rsidRPr="00F944BA" w:rsidRDefault="00F944BA" w:rsidP="00237FCA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(9a) Lo faccio venire. (9b)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*Lo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mando venire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Ci sono dei limiti nella scelta dei verbi che possono partecipare in un certo costrutto.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Queste proprietà sintattiche possono cambiare nel tempo: per es. nell’italiano antico il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verbo ‘sembrare’ si usava solo col complemento predicativo, tipo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sembra bello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sembra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conveniente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 Nell’italiano di oggi il verbo ‘sembrare’ può ricorrere in tutte le strutture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che prima erano riservate solo al verbo ‘parere’. Tipo: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sembra che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mi sembra di poter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1.3 La sintassi storica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La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sintassi storica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si occupa: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dei cambiamenti delle strutture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lastRenderedPageBreak/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del perché del cambiamento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1.3.1 Due approcci al mutamento sintattico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Il punto di partenza per spiegare il cambiamento sintattico nell’approccio </w:t>
      </w:r>
      <w:proofErr w:type="spellStart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chomskyano</w:t>
      </w:r>
      <w:proofErr w:type="spellEnd"/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(generativista) è l’acquisizione del linguaggio. Ogni nuova generazione deve riacquisire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grammatica: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Grammatica I -----</w:t>
      </w: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®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Lingua 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Grammatica II -----</w:t>
      </w: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®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Lingua II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L’acquisizione linguistica, in questo approccio, consiste nel fissare dei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Parametri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(cioè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scegliere tra ciò che è opzionale nella Grammatica Universale), mentre altre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informazioni sono geneticamente codificate (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Principi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). I bambini imparano la lingua in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base ai dati linguistici ai quali sono esposti. I dati linguistici, entrando in contatto con la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conoscenza innata, portano alla creazione della grammatica della data lingua. Nel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processo di associare forme e regole, succedono ‘equivoci’ (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rianalisi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dei dati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linguistici), che sono alla base del cambiamento linguistico. La spiegazione dell’analisi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linguistica diversa da quella delle generazioni precedenti, deve essere contenuta nei dati</w:t>
      </w:r>
    </w:p>
    <w:p w:rsidR="00F944BA" w:rsidRPr="00237FC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che il parlante riceve al momento dell’apprendimento: per es. a causa dei contatti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linguistici, prestito; cambiamento nel percentuale dei dati per una moda linguistica; usi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di tipo espressivo</w:t>
      </w:r>
      <w:r w:rsidRPr="00F944BA">
        <w:rPr>
          <w:rFonts w:ascii="Garamond" w:hAnsi="Garamond" w:cs="Times-Roman"/>
          <w:color w:val="0000FF"/>
          <w:sz w:val="24"/>
          <w:szCs w:val="24"/>
          <w:lang w:val="it-IT"/>
        </w:rPr>
        <w:t>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Secondo l’approccio </w:t>
      </w:r>
      <w:proofErr w:type="spellStart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tipologico-funzionalista</w:t>
      </w:r>
      <w:proofErr w:type="spellEnd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gli elementi linguistici cambiano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gradualmente seguendo passaggi universali. La spiegazione semantica del cambiamento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linguistico prevale sulla spiegazione sintattica, perché il cambiamento linguistico non è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un prodotto arbitrario di uno sviluppo linguistico autonomo, ma è un processo che ha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una motivazione sistematica e concettuale. Il punto tipico per identificare il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cambiamento linguistico è l’ascoltatore, che deve interpretare la struttura di un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enunciato in cui il parlante non ha reso implicito le sue intenzioni comunicative. Queste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circostanze permettono una certa varietà di interpretazioni e le restrizioni che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condurranno a scegliere l’interpretazione finale verranno dalle conoscenze condivise e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da fattori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concettuali-semantici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propri dell’uomo.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1.3.2 </w:t>
      </w:r>
      <w:proofErr w:type="spellStart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Rianalisi</w:t>
      </w:r>
      <w:proofErr w:type="spellEnd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, prestito, analogia e grammaticalizzazione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A) </w:t>
      </w:r>
      <w:proofErr w:type="spellStart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Rianalisi</w:t>
      </w:r>
      <w:proofErr w:type="spellEnd"/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Il ciclo della negazione: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Il latino e in generale le lingue romanze riservano alla negazione il posto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precedente al verbo: lat.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non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intellegit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it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non capisce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 antico francese, la negazione enfatica viene ottenuta mediante l’unione della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negazione standard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ne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(&lt; latino NON) e sostantivi come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point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‘punto’,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pas</w:t>
      </w:r>
      <w:proofErr w:type="spellEnd"/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‘passo’,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personne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`persona'.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Successivamente, il sostantivo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pas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diviene obbligatorio con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ne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producendo una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nuova forma di negazione standard,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ne ...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pas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ad esempio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je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ne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sais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pas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‘non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so’.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‘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pas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’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viene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rianalizzato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come la forma negativa, producendo la forma di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negazione colloquiale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...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pas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ad esempio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je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sais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pas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‘so mica’ (anche in Italia è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largamente diffusa una seconda parte di negazione semanticamente “vuota”,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come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lomb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e ven.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miga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bologn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brisa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tosc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mica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salent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filu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ecc. Questo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secondo elemento è diventato in alcuni casi l’unico obbligatorio, come in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lomb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capissi minga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‘non capisco’,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piem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capissu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nèn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.)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b/>
          <w:color w:val="000000"/>
          <w:sz w:val="24"/>
          <w:szCs w:val="24"/>
          <w:lang w:val="it-IT"/>
        </w:rPr>
      </w:pPr>
      <w:r w:rsidRPr="0003604D">
        <w:rPr>
          <w:rFonts w:ascii="Garamond" w:hAnsi="Garamond" w:cs="Times-Roman"/>
          <w:b/>
          <w:color w:val="000000"/>
          <w:sz w:val="24"/>
          <w:szCs w:val="24"/>
          <w:lang w:val="it-IT"/>
        </w:rPr>
        <w:t>L'ordine dei costituenti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Le lingue del mondo mostrano diversi tipi di ordine dei costituenti, ad esempio SVO,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SOV, VSO. Esistono numerose correlazioni tra gli ordini dei costituenti, tali per cui se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una lingua presenta un certo ordine dei costituenti in relazione ad un determinato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parametro (ad esempio, SVO), allora presenterà anche un certo ordine dei costituenti in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relazione ad un altro parametro (ad esempio,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Prep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NG). I vari ordini dei costituenti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sono però soggetti a mutamento nel corso dell'evoluzione delle lingue. Il mutamento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può essere determinato dalla </w:t>
      </w:r>
      <w:proofErr w:type="spellStart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rianalisi</w:t>
      </w:r>
      <w:proofErr w:type="spellEnd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di particolari costruzioni, o da fattori come il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prestito sintattico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da altre lingue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B) Prestito sintattico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Il neogreco ha perduto l’infinito nelle proposizioni oggettive e lo sostituisce col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congiuntivo. Il calabrese usa lo stesso processo, certo per calco sul greco, sostituendo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vá</w:t>
      </w:r>
      <w:proofErr w:type="spellEnd"/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del neogreco con la congiunzione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mu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(&lt; lat. MODO) in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voliti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mu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veniti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‘volete venire’.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C) Estensione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analogia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generalizzazione): l'introduzione di nuove costruzioni per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codificare un ambito concettuale inizialmente espresso mediante altre costruzioni.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D)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La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grammaticalizzazione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è un processo diacronico unidirezionale tramite il quale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gli elementi lessicali si rivestono di un nuovo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status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grammaticale, morfosintattico.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Questo processo rispecchia una tendenza cognitiva umana generale, per la quale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cerchiamo di esprimere i concetti astratti con l’aiuto di concetti concreti.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Elementi lessicali vs. elementi grammaticali (Hopper and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Traugott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1993:4):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Elementi lessicali (nomi, aggettivi, verbi): appartengono a classi aperte, e</w:t>
      </w:r>
      <w:r w:rsidR="00237FC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denotano oggetti, eventi e proprietà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Elementi grammaticali (congiunzioni, pronomi,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articoli, apposizioni, affissi f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lessivi e derivazionali, clitici etc.): apparteng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ono a classi chiuse, e indicano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relazioni tra le entità denotate dagli elementi lessicali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C1553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b/>
          <w:color w:val="000000"/>
          <w:sz w:val="24"/>
          <w:szCs w:val="24"/>
          <w:lang w:val="it-IT"/>
        </w:rPr>
      </w:pPr>
      <w:r w:rsidRPr="00C1553A">
        <w:rPr>
          <w:rFonts w:ascii="Garamond" w:hAnsi="Garamond" w:cs="Times-Roman"/>
          <w:b/>
          <w:color w:val="000000"/>
          <w:sz w:val="24"/>
          <w:szCs w:val="24"/>
          <w:lang w:val="it-IT"/>
        </w:rPr>
        <w:t>Il continuum della grammaticalizzazione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livello Discorso Sintassi Morfologia Morfofonematica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tecnica isolante &gt; analitico &gt; 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sintetico agglutinante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&gt; sintetico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>-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flessionale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&gt; zero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fase collocazione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sintatticizzazione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morfologizzazione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demorfemicizzazione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perdita</w:t>
      </w:r>
    </w:p>
    <w:p w:rsidR="00C1553A" w:rsidRDefault="00C1553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C1553A">
        <w:rPr>
          <w:rFonts w:ascii="Garamond" w:hAnsi="Garamond" w:cs="Times-Roman"/>
          <w:b/>
          <w:color w:val="000000"/>
          <w:sz w:val="24"/>
          <w:szCs w:val="24"/>
          <w:lang w:val="it-IT"/>
        </w:rPr>
        <w:t>Fattori tipici dei processi di grammaticalizzazione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Metafora e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convenzionalizzazione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di inferenze pragmatiche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Estensione: la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rianalisi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viene applicata a contesti non compatibili con le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caratteristiche semantiche del contesto originario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Unidirezionalità</w:t>
      </w:r>
      <w:proofErr w:type="spellEnd"/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Formazione di diversi livelli: l'originaria forma lessicale può sopravvivere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accanto al suo esito grammaticalizzato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Rinnovamento: gli elementi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decategorializzati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ed erosi vengono sostituiti da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nuovi elementi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Lo sviluppo del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passé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récent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in francese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(10a)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Je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viens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de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Lyon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io vengo da Lione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‘Vengo da Lione’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(10 b)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Je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viens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de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manger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io vengo da mangiare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‘ho appena mangiato’</w:t>
      </w:r>
    </w:p>
    <w:p w:rsidR="00C1553A" w:rsidRDefault="00C1553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C1553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b/>
          <w:color w:val="000000"/>
          <w:sz w:val="24"/>
          <w:szCs w:val="24"/>
          <w:lang w:val="it-IT"/>
        </w:rPr>
      </w:pPr>
      <w:r w:rsidRPr="00C1553A">
        <w:rPr>
          <w:rFonts w:ascii="Garamond" w:hAnsi="Garamond" w:cs="Times-Roman"/>
          <w:b/>
          <w:color w:val="000000"/>
          <w:sz w:val="24"/>
          <w:szCs w:val="24"/>
          <w:lang w:val="it-IT"/>
        </w:rPr>
        <w:t>Alcune implicazioni dei processi di grammaticalizzazione per una teoria del linguaggio: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Le categorie grammaticali tradizionali spesso non valgono a classificare gli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elementi grammaticalizzati, che presentano proprietà di diverse categorie.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Normalmente si stabilisce una distinzione tra studio delle lingue a livello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sincronico e a livello. Ma poiché le lingue sono in continua evoluzione, la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dicotomia tra sincronia e diacronia è artificiale.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Symbol"/>
          <w:color w:val="000000"/>
          <w:sz w:val="24"/>
          <w:szCs w:val="24"/>
          <w:lang w:val="it-IT"/>
        </w:rPr>
        <w:t xml:space="preserve">•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grammatica delle lingue non è un insieme di regole prestabilite e immutabili,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ma piuttosto un sistema convenzionale che viene di volta in volta modificato dai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parlanti in base alle esigenze del processo comunicativo.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2 Il passato composto con l’ausiliare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2.1 Introduzione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Un’innovazione delle lingue romanze rispetto al latino è la creazione di forme verbali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perifrastiche per l’espressione dell’anteriorità. Il tipo più diffuso è quello del participio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passato accompagnato dall’ausiliare “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avere”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Italiano: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essere/avere2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francese: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être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/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avoir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rumeno: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avea</w:t>
      </w:r>
      <w:proofErr w:type="spellEnd"/>
      <w:r w:rsidRPr="00F944BA">
        <w:rPr>
          <w:rFonts w:ascii="Garamond" w:hAnsi="Garamond" w:cs="TTE16DFB60t00"/>
          <w:color w:val="000000"/>
          <w:sz w:val="24"/>
          <w:szCs w:val="24"/>
          <w:lang w:val="it-IT"/>
        </w:rPr>
        <w:t xml:space="preserve">,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catalano: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haver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(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tenir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)</w:t>
      </w:r>
      <w:r w:rsidRPr="00F944BA">
        <w:rPr>
          <w:rFonts w:ascii="Garamond" w:hAnsi="Garamond" w:cs="Times-Roman"/>
          <w:color w:val="0E3232"/>
          <w:sz w:val="24"/>
          <w:szCs w:val="24"/>
          <w:lang w:val="it-IT"/>
        </w:rPr>
        <w:t xml:space="preserve">,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spagnolo: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(tener)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portoghese: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ter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haver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).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Il passato prossimo in italiano: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(1) Piero ha scritto una lettera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- Esprime anteriorità, compiutezza; equivalente latino: SCRIPSIT3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- Rapporto di reggenza tra ‘scritto’ (scrivere) e 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‘lettera’; l’ausiliare regge il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participio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- Componenti: V + Complemento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Dal significato odierno del verbo ‘avere’ (possesso e altri tipi di relazione) non si può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dedurre perché serve a formare il passato. Non c’è cioè una motivazione sincronica che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spieghi che relazione ci sia tra il significato di “avere” e il significato di “anteriorità”.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C’è però un fatto interessante: in molte lingue troviamo costruzioni analoghe, cioè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perifrasi che indicano anteriorità costruite con un verbo che indica possesso (per es.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l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ingue germaniche, celtiche; ma anche lingue non-indoeuropee).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Costrutto latino all’origine della costruzione romanza: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(2)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Epistulam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scriptam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habeo</w:t>
      </w:r>
      <w:proofErr w:type="spellEnd"/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- Esprime uno stato presente, ‘ho una lettera scritta’; qui HABEO indica il possesso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- Rapporto di predicazione tra ‘EPISTULAM’ e ‘SCRIPTAM’; rapporto di tipo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reggenza tra ‘EPISTULAM’ e ‘HABEO’; nessun rapporto tra participio e verbo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- I componenti sintattici: V + 2 Complementi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2.2 L’analisi delle due strutture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A) Analisi del numero dei costituenti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(3a) Tengo gli occhi aperti.</w:t>
      </w:r>
    </w:p>
    <w:p w:rsidR="00F944BA" w:rsidRPr="0003604D" w:rsidRDefault="00F944BA" w:rsidP="000360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In questa frase </w:t>
      </w:r>
      <w:r w:rsidRPr="0003604D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gli occhi </w:t>
      </w:r>
      <w:r w:rsidRP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e </w:t>
      </w:r>
      <w:r w:rsidRPr="0003604D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aperti </w:t>
      </w:r>
      <w:r w:rsidRPr="0003604D">
        <w:rPr>
          <w:rFonts w:ascii="Garamond" w:hAnsi="Garamond" w:cs="Times-Roman"/>
          <w:color w:val="000000"/>
          <w:sz w:val="24"/>
          <w:szCs w:val="24"/>
          <w:lang w:val="it-IT"/>
        </w:rPr>
        <w:t>sono due costituenti diversi, di conseguenza, possono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essere pronominalizzati indipendentemente: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(3b) Li tengo aperti.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(cfr.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Leggo il libro verde. Lo leggo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)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2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Nelle lingue romanze e germaniche l’alternanza dell’ausiliare ‘essere’ o ‘avere’ avviene secondo le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classi verbali: si usa ‘avere’ con i transitivi e gli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inergativi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(intransitivi non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), mentre ‘essere’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ricorre (in misure variabili) con gli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 Un test per stabilire l’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inaccusatività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: possibilità di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pronominalizzare il soggetto posposto degli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ma non degli altri verbi:</w:t>
      </w:r>
    </w:p>
    <w:p w:rsidR="00F944BA" w:rsidRPr="00F944BA" w:rsidRDefault="00C1553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(i) Sono arrivati due ragazzi. Ne sono arrivati due.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ii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) Hanno telefonato due ragazzi.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*Ne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hanno telefonato due.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3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>.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In questa sede non ci occupiamo della distribuzione tra passato composto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e passato semplice nelle varie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lingue romanze. In grandi linee, nell’italiano letterario, in rum. e in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fr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 il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passato remoto è diventato una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forma tipica della narrazione storica. In catalano si è formato un nuovo tempo perifrastico, fa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tto con il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verbo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anar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‘andare’: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va cantar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‘cantò’ in opposizione a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ha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cantat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‘ha cantato’.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Da questa tendenza innovativa sembrano essere esclusi il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port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., lo sp., l’occitanic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o, l’italiano centromeridionale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 anche il toscano.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</w:p>
    <w:p w:rsidR="00F944BA" w:rsidRPr="00F944BA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="00C1553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ab/>
      </w:r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(3c) Gli occhi che tengo sempre aperti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Alla costruzione latina dobbiamo assegnare questa struttura, perché mostra “prove”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analoghe: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(3d) (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Equitatum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quem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ex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omni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provincia …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coactum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habebat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(Cesare, De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bello gallico, I, 15, 1) ‘La cavalleria che aveva (perché l’aveva) riunita da ogni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provincia’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B) Il participio si comporta sintatticamente come un aggettivo</w:t>
      </w:r>
    </w:p>
    <w:p w:rsidR="00C1553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(4a) La porta è chiusa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: 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Questa frase è potenzialmente ambigua. Per evidenziare il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significato possiamo b) aggiungere un avverbio che evidenzi il valore verbale del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participio, c) possiamo sostituire il verbo ‘essere’ con un altro verbo che evidenzi lo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stato, che consegue come risultato del fatto che la porta è stata chiusa anteriormente: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(4b) La porta è chiusa violentemente.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(4c) La porta rimane chiusa.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Nelle costruzioni con un participio che funge da compl. predicativo dell’oggetto, il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participio può avere solo valore aggettivale: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(5a) Tengo la porta chiusa. (5b)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*Tengo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la porta chiusa violentemente.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Inoltre, in queste costruzioni l’aggettivo può avere la forma del comparativo, come il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participio poteva averlo nella costruzione latina: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(6a) Tengo gli occhi più aperti.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(6b)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comitiorum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dilationes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occupatiorem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me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habebant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(Celio, in Cicerone, Ad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familiares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, VIII, 4, 3) ‘le lungaggini delle assemblee mi tenevano piuttosto occupato’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Le caratteristiche della struttura latina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Nella struttura latina, dunque, abbiamo due relazioni sintattiche: una relazione di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reggenza e una relazione di predicazione: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03604D">
        <w:rPr>
          <w:rFonts w:ascii="Garamond" w:hAnsi="Garamond" w:cs="Times-Roman"/>
          <w:i/>
          <w:color w:val="000000"/>
          <w:sz w:val="24"/>
          <w:szCs w:val="24"/>
          <w:lang w:val="it-IT"/>
        </w:rPr>
        <w:t>habeo</w:t>
      </w:r>
      <w:proofErr w:type="spellEnd"/>
      <w:r w:rsidRPr="0003604D">
        <w:rPr>
          <w:rFonts w:ascii="Garamond" w:hAnsi="Garamond" w:cs="Times-Roman"/>
          <w:i/>
          <w:color w:val="000000"/>
          <w:sz w:val="24"/>
          <w:szCs w:val="24"/>
          <w:lang w:val="it-IT"/>
        </w:rPr>
        <w:t xml:space="preserve"> [</w:t>
      </w:r>
      <w:proofErr w:type="spellStart"/>
      <w:r w:rsidRPr="0003604D">
        <w:rPr>
          <w:rFonts w:ascii="Garamond" w:hAnsi="Garamond" w:cs="Times-Roman"/>
          <w:i/>
          <w:color w:val="000000"/>
          <w:sz w:val="24"/>
          <w:szCs w:val="24"/>
          <w:lang w:val="it-IT"/>
        </w:rPr>
        <w:t>epistulam</w:t>
      </w:r>
      <w:proofErr w:type="spellEnd"/>
      <w:r w:rsidRPr="0003604D">
        <w:rPr>
          <w:rFonts w:ascii="Garamond" w:hAnsi="Garamond" w:cs="Times-Roman"/>
          <w:i/>
          <w:color w:val="000000"/>
          <w:sz w:val="24"/>
          <w:szCs w:val="24"/>
          <w:lang w:val="it-IT"/>
        </w:rPr>
        <w:t xml:space="preserve"> </w:t>
      </w:r>
      <w:proofErr w:type="spellStart"/>
      <w:r w:rsidRPr="0003604D">
        <w:rPr>
          <w:rFonts w:ascii="Garamond" w:hAnsi="Garamond" w:cs="Times-Roman"/>
          <w:i/>
          <w:color w:val="000000"/>
          <w:sz w:val="24"/>
          <w:szCs w:val="24"/>
          <w:lang w:val="it-IT"/>
        </w:rPr>
        <w:t>scriptam</w:t>
      </w:r>
      <w:proofErr w:type="spellEnd"/>
      <w:r w:rsidRPr="0003604D">
        <w:rPr>
          <w:rFonts w:ascii="Garamond" w:hAnsi="Garamond" w:cs="Times-Roman"/>
          <w:i/>
          <w:color w:val="000000"/>
          <w:sz w:val="24"/>
          <w:szCs w:val="24"/>
          <w:lang w:val="it-IT"/>
        </w:rPr>
        <w:t>]</w:t>
      </w:r>
    </w:p>
    <w:p w:rsidR="00F944BA" w:rsidRPr="00F944BA" w:rsidRDefault="0003604D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>
        <w:rPr>
          <w:rFonts w:ascii="Garamond" w:hAnsi="Garamond" w:cs="Times-Roman"/>
          <w:color w:val="000000"/>
          <w:sz w:val="24"/>
          <w:szCs w:val="24"/>
          <w:lang w:val="it-IT"/>
        </w:rPr>
        <w:t xml:space="preserve">                                         </w:t>
      </w:r>
      <w:r w:rsidR="00F944BA"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reggenza predicazione</w:t>
      </w:r>
    </w:p>
    <w:p w:rsidR="00C1553A" w:rsidRDefault="00C1553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C1553A" w:rsidRDefault="00C1553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La struttura latina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Il significato è: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Possiedo (il risultato del fatto che) una lettera (è stata) scritta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 In questa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struttura non esiste nessun rapporto diretto tra HABEO e SCRIPTAM (cfr. 7), tanto che il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soggetto di HABEO può essere diverso dal soggetto (semantico) di SCRIPTAM. Anche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nelle fasi più antiche delle lingue romanze, la costruzione HABÉRE, TENÉRE + part. pass.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esprimeva il possesso di un’entità che si trovava nello stato descritto dal part. pass. (cfr.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il francese antico in 8):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(7)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duces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comprehénsós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tenétis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(Cicerone) ‘Tenete i capi in stato di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arresto’</w:t>
      </w:r>
      <w:proofErr w:type="spellEnd"/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(8) et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>chis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>emperes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>avoit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>lettres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>seur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>lui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>ecrites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en-US"/>
        </w:rPr>
        <w:t xml:space="preserve"> qui…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(Robert de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Clari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) ‘E questo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imperatore aveva delle lettere scritte su di lui, che...’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Le caratteristiche della perifrasi romanza moderna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Differenza nella struttura sintattica: 1) nella perifrasi romanza esiste una relazione tra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e il participio (di reggenza o di modificazione), il soggetto di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 il soggetto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del participio sono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coreferenziali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; il participio non può essere separato dall’ausiliare 2)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: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il participio ha funzione verbale e regge il complemento oggetto.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ho [scritto la lettera]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reggenza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reggenza</w:t>
      </w:r>
      <w:proofErr w:type="spellEnd"/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La struttura romanza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Il significato: HABÉRE diventa un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ausiliare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e la struttura della frase viene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rianalizzata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;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frase denota non più qualcuno che possiede un oggetto avente le proprietà denotate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dal participio passato, ma qualcuno che ha fatto l’azione descritta dal participio. La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rianalisi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sintattica comporta un cambiamento nella struttura argomentale del verbo.</w:t>
      </w:r>
    </w:p>
    <w:p w:rsidR="00F944BA" w:rsidRPr="00F944B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Resti della costruzione latina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>:</w:t>
      </w:r>
    </w:p>
    <w:p w:rsidR="00C1553A" w:rsidRDefault="00F944BA" w:rsidP="00C15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(9a) Ho scritta una lettera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: </w:t>
      </w:r>
    </w:p>
    <w:p w:rsidR="0003604D" w:rsidRDefault="00F944BA" w:rsidP="000360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Nell’italiano antico l’accordo riflette la relazione antica di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tipo predicativo, ma il significato è già quello moderno. L’italiano moderno ha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semplificato il sistema, il reggente non si accorda col retto. Il participio si accorda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invece con l’oggetto diretto pronominale (soprattutto in 3a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pers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.): </w:t>
      </w:r>
    </w:p>
    <w:p w:rsidR="0003604D" w:rsidRDefault="0003604D" w:rsidP="000360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>
        <w:rPr>
          <w:rFonts w:ascii="Garamond" w:hAnsi="Garamond" w:cs="Times-Roman"/>
          <w:color w:val="000000"/>
          <w:sz w:val="24"/>
          <w:szCs w:val="24"/>
          <w:lang w:val="it-IT"/>
        </w:rPr>
        <w:tab/>
      </w:r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(9b) L’ho scritta. (9c)</w:t>
      </w:r>
      <w:r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Je</w:t>
      </w:r>
      <w:proofErr w:type="spellEnd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vous</w:t>
      </w:r>
      <w:proofErr w:type="spellEnd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ai </w:t>
      </w:r>
      <w:proofErr w:type="spellStart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vus</w:t>
      </w:r>
      <w:proofErr w:type="spellEnd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.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Invece, lo spagnolo e il portoghese hanno completamente eliminato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l’accordo con l’oggetto.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La storia dell’ausiliare </w:t>
      </w: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essere</w:t>
      </w:r>
    </w:p>
    <w:p w:rsid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 molte lingue dell’Europa il passivo è formalmente identico al perfetto degli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con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essere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(si ritiene che il soggetto delle due costruzioni sia un argomento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interno). Dalla prospettiva diacronica,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essere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può essersi stabilito come ausiliare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perfettivo usato con gli </w:t>
      </w:r>
      <w:proofErr w:type="spellStart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 </w:t>
      </w:r>
      <w:r w:rsidR="0003604D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grazie al parallelismo nella struttura argomentale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dei verbi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e il costrutto latino con i verbi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passivi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(per es. AMATUR ‘è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amato/a’) e i cosiddetti verbi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deponenti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i quali hanno una morfosintassi passiva, ma un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significato attivo (per es. MORITUR ‘muore’). Già in latino ESSE era usato come ausiliare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perfettivo con i passivi e i deponenti. Il perfetto di queste costruzioni è formata dal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participio e il presente del verbo essere: </w:t>
      </w:r>
    </w:p>
    <w:p w:rsidR="0003604D" w:rsidRDefault="00F944BA" w:rsidP="00036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(10a) amata est ‘è stata amata’ (10b)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mortuaest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‘è morta’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L’uso del verbo HABERE era originariamente limitato ai predicati transitivi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 solo con l’indebolimento semantico e la perdita delle restrizioni di selezione ha potuto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estendere il suo campo ai verbi intransitivi.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2.3 Che cosa è successo?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Il cambiamento è cominciato a livello semantico: l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a struttura del latino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ha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cambiato di significato e il nuovo significato della costruzione ha imposto una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ristrutturazione sintattica che ha portato al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>la struttura romanza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a) Lo svuotamento del significato del verbo HABEO</w:t>
      </w:r>
    </w:p>
    <w:p w:rsidR="00F944BA" w:rsidRP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Originariamente è un sinonimo di TENEO, poi già nel latino classico esprime una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relazione, come farà nell’italiano: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(11a) Piero ha fame. (11b) Piero ha 30 anni. (11c)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quattuor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triginta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tum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habebat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annos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(Cicerone,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Brutus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, 161) ‘aveva allora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trentaquattro anni’</w:t>
      </w:r>
    </w:p>
    <w:p w:rsid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Prove dello svuotamento: può essere sostituito da una parafrasi col verbo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essere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: 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(11d)</w:t>
      </w:r>
      <w:r w:rsidR="0003604D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Piero è affamato. (11e) Piero è trentenne.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in molti casi corrisponde a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essere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il verbo che per eccellenza indica relazione,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solo che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soggettivizza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uno dei partecipanti (una relazione simile esiste tra attivo e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passivo): 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ab/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(12a) C’è un buco nella mia tasca. (12b) Ho un buco nella tasca.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Espressione del possesso in latino: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(12c)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Mihi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domus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est. (12d)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Domum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habeo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.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Così,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analogamente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alle costruzioni con SUM, che potevano avere sia significato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verbale (passivo) che aggettivale (stato), le costruzioni con HABEO, che originariamente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avevano solo un significato aggettivale, assumono anche un significato verbale.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b) La frequente coincidenza fra il soggetto di HABEO e il soggetto del participio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Soprattutto con i verbi indicanti attività intellettuale, visto che la conoscenza che uno ha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è frutto della propria attività cognitiva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(13)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haberem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a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Furnio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… tua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consilia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cognita (Cicerone,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Epistulae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ad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familiares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, X,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12, 1) ‘sapevo da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Furnio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le tue intenzioni’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Il mutamento semantico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Con lo svuotamento semantico di HABEO, l’asse principale dell’interpretazione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semantica si sposta al rapporto diretto fra il soggetto e i complementi di HABEO, prima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di tutto il participio, a causa dell’identità fra i loro soggetti (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coreferenza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). Dato che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HABEO non conta nell’interpretazione semantica della costruzione, il participio finisce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col perdere il suo carattere aggettivale ed assume carattere verbale. La costruzione che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indicava il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possesso del risultato di un’azione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viene a significare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l’azione stessa al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passato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 Inoltre, il perfetto latino era bivalente, incorporava le funzioni dell’aoristico 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del perfetto. Quest’ultima funzione sarà occupata dal nuovo costrutto perché l’ausiliare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al presente è capace di esprimere la rilevanza diretta e la connessione al momento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presente.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Il mutamento sintattico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Il mutamento sintattico deve essere avvenuto solo molto più tardi. In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fr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 ant., per es.,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compl. oggetto e participio continuano a comportarsi come due costituenti separati,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esattamente come in latino (cfr. es. 8). Una volta avvenuto il cambiamento semantico, si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tende ad assegnare alla costruzione una nuova struttura sintattica che corrisponda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meglio alla struttura semantica e alla struttura generale della lingua in cui il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cambiamento avviene. Quindi in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scritta la lettera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,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scritta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è un verbo; siccome abbiamo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costruzioni come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scrive la lettera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(V + compl.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ogg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.), anche il rapporto tra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scritta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la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lettera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verrà interpretato analogicamente come un rapporto di reggenza.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3604D" w:rsidRDefault="0003604D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3604D" w:rsidRDefault="0003604D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3604D" w:rsidRDefault="0003604D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03604D" w:rsidRDefault="0003604D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La grammaticalizzazione degli ausiliari</w:t>
      </w:r>
    </w:p>
    <w:p w:rsid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Uno dei più comuni processi di grammaticalizzazione è: </w:t>
      </w:r>
    </w:p>
    <w:p w:rsid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verbo lessicale &gt; ausiliare &gt;affisso di aspetto, tempo o modo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</w:p>
    <w:p w:rsidR="00F944BA" w:rsidRP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Anche in altre lingue il verbo che esprime il</w:t>
      </w:r>
      <w:r w:rsidR="0003604D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possesso può essere usato per formare il passato. Per es. in tedesco, indipendentemente,</w:t>
      </w:r>
      <w:r w:rsidR="0003604D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ma parallelamente all’italiano.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"/>
          <w:b/>
          <w:bCs/>
          <w:color w:val="000000"/>
          <w:sz w:val="24"/>
          <w:szCs w:val="24"/>
          <w:lang w:val="it-IT"/>
        </w:rPr>
        <w:t>Differenze nella selezione dell’ausiliare</w:t>
      </w:r>
    </w:p>
    <w:p w:rsid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Non in tutte le lingue romanze esiste l’alternanza tra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essere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 anche dove esiste,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non riguarda lo stesso gruppo di verbi ovunque (per es.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fr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j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’ai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été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–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it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.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sono stato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).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Esiste un numero ristretto di verbi intransitivi che selezionano essere in tutte le lingue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>dove c’è l’alt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ernanza, mentre altri intransitivi mostrano un comportamento meno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regolare, selezionando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essere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in alcune lingue 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 altre. In base a questi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fenomeni, possiamo stabilire la gerarchia dell’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inaccusatività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in cui i membri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“centrali/nucleari” selezionano con maggiore possibilità l’ausiliare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essere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 i membri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“periferici” sono più suscettibili ai mutamenti analogici a favore di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avere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: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cambiamento di luogo &gt; cambiamento di stato &gt; continuazione di stati preesistenti &gt;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esistenza di uno stato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Il verbo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non si è diffusa nei domini di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essere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accidentalmente. È apparso prima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con i verbi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“periferici” e poi con 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gli </w:t>
      </w:r>
      <w:proofErr w:type="spellStart"/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“nucleari”. La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generalizzazione di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avere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a scapito di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essere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è una rea</w:t>
      </w:r>
      <w:r w:rsidR="0001474C">
        <w:rPr>
          <w:rFonts w:ascii="Garamond" w:hAnsi="Garamond" w:cs="Times-Roman"/>
          <w:color w:val="000000"/>
          <w:sz w:val="24"/>
          <w:szCs w:val="24"/>
          <w:lang w:val="it-IT"/>
        </w:rPr>
        <w:t xml:space="preserve">zione analogica ad una marca di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tempo/aspetto “irregolare”.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Riflessivi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I riflessivi in italiano moderno prendono l’ausiliare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essere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. La variazione dell’ausiliare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deve aver avuto inizio con i riflessivi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:</w:t>
      </w:r>
    </w:p>
    <w:p w:rsidR="00F944BA" w:rsidRPr="00F944BA" w:rsidRDefault="0003604D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ab/>
      </w:r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(14a) Li occhi miei [...] </w:t>
      </w:r>
      <w:proofErr w:type="spellStart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rivolsersi</w:t>
      </w:r>
      <w:proofErr w:type="spellEnd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a luce che promessa tanto si </w:t>
      </w:r>
      <w:proofErr w:type="spellStart"/>
      <w:r w:rsidR="00F944BA"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avea</w:t>
      </w:r>
      <w:proofErr w:type="spellEnd"/>
      <w:r w:rsidR="00F944BA"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(Dante, </w:t>
      </w:r>
      <w:proofErr w:type="spellStart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Paradis</w:t>
      </w:r>
      <w:proofErr w:type="spellEnd"/>
      <w:r w:rsidR="00F944BA"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)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(14b)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Se’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l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figliuol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di Dio non </w:t>
      </w: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 xml:space="preserve">fosse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umiliato ad incarnarsi (Dante, Paradiso)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Mentre nell’italiano moderno l’ausiliare essere si è generalizzato per tutti i verbi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riflessivi, in siciliano assistiamo allo sviluppo opposto: l’uso dell’ausiliare avere si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ab/>
        <w:t xml:space="preserve">diffonde con i riflessivi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(come con tutti gli altri verbi), ma i riflessivi </w:t>
      </w:r>
      <w:proofErr w:type="spellStart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inaccusativi</w:t>
      </w:r>
      <w:proofErr w:type="spellEnd"/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sono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quelli a resistere più a lungo: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(14c)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Et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essendu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si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alluntanati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... (siciliano antico)</w:t>
      </w:r>
    </w:p>
    <w:p w:rsidR="00F944BA" w:rsidRPr="00F944BA" w:rsidRDefault="00F944BA" w:rsidP="00036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(14d) La sua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dulci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mugleri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[...] si </w:t>
      </w:r>
      <w:proofErr w:type="spellStart"/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avia</w:t>
      </w:r>
      <w:proofErr w:type="spellEnd"/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auchisu</w:t>
      </w:r>
      <w:proofErr w:type="spellEnd"/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 xml:space="preserve"> [ucciso] (siciliano antico)</w:t>
      </w: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</w:p>
    <w:p w:rsidR="0001474C" w:rsidRDefault="0001474C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bookmarkStart w:id="0" w:name="_GoBack"/>
      <w:bookmarkEnd w:id="0"/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2.4 Perché il passato è rimasto analitico, mentre il futuro è diventato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BoldItalic"/>
          <w:b/>
          <w:bCs/>
          <w:i/>
          <w:iCs/>
          <w:color w:val="000000"/>
          <w:sz w:val="24"/>
          <w:szCs w:val="24"/>
          <w:lang w:val="it-IT"/>
        </w:rPr>
        <w:t>sintetico?</w:t>
      </w:r>
    </w:p>
    <w:p w:rsidR="00F944BA" w:rsidRPr="00F944BA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La storia morfosintattica di HABEO CANTATUM e CANTARE HABEO è simile, eccetto la</w:t>
      </w:r>
    </w:p>
    <w:p w:rsidR="0003604D" w:rsidRDefault="00F944BA" w:rsidP="00F944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relativa anali</w:t>
      </w:r>
      <w:r w:rsidR="00C1553A">
        <w:rPr>
          <w:rFonts w:ascii="Garamond" w:hAnsi="Garamond" w:cs="Times-Roman"/>
          <w:color w:val="000000"/>
          <w:sz w:val="24"/>
          <w:szCs w:val="24"/>
          <w:lang w:val="it-IT"/>
        </w:rPr>
        <w:t>ti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cità del primo. La differenza dovrà essere cercata nelle condizioni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sintattiche in cui la grammaticalizzazione è avvenuta. Una delle spiegazioni possibili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collega la formazione dei due costrutti al cambiamento nell’ordine delle parole.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</w:p>
    <w:p w:rsidR="000408DF" w:rsidRPr="0003604D" w:rsidRDefault="00F944BA" w:rsidP="0003604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-Roman"/>
          <w:color w:val="000000"/>
          <w:sz w:val="24"/>
          <w:szCs w:val="24"/>
          <w:lang w:val="it-IT"/>
        </w:rPr>
      </w:pP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L’ordine OV era ancora dominante nel periodo in cui si è formato il futuro, mentre la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consolidazione della struttura perfettiva è avvenuta dopo il cambiamento OV </w:t>
      </w:r>
      <w:r w:rsidRPr="00F944BA">
        <w:rPr>
          <w:rFonts w:ascii="Garamond" w:hAnsi="Garamond" w:cs="TTE26B8008t00"/>
          <w:color w:val="000000"/>
          <w:sz w:val="24"/>
          <w:szCs w:val="24"/>
          <w:lang w:val="it-IT"/>
        </w:rPr>
        <w:t xml:space="preserve">_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VO.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Nel primo periodo esisteva una flessibilità sintattica maggiore, dovuta alla flessione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 xml:space="preserve">latina, così qualsiasi elemento che avrebbe potuto inserirsi tra l’infinito e </w:t>
      </w:r>
      <w:r w:rsidRPr="00F944BA">
        <w:rPr>
          <w:rFonts w:ascii="Garamond" w:hAnsi="Garamond" w:cs="Times-Italic"/>
          <w:i/>
          <w:iCs/>
          <w:color w:val="000000"/>
          <w:sz w:val="24"/>
          <w:szCs w:val="24"/>
          <w:lang w:val="it-IT"/>
        </w:rPr>
        <w:t>avere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, poteva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essere spostato fuori dal complesso verbale. La sintassi più rigida del latino tardo e del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romanzo, lasciava meno posizioni alternative per eventuali elementi inseriti, il che avrà</w:t>
      </w:r>
      <w:r w:rsidR="0003604D">
        <w:rPr>
          <w:rFonts w:ascii="Garamond" w:hAnsi="Garamond" w:cs="Times-Roman"/>
          <w:color w:val="000000"/>
          <w:sz w:val="24"/>
          <w:szCs w:val="24"/>
          <w:lang w:val="it-IT"/>
        </w:rPr>
        <w:t xml:space="preserve"> </w:t>
      </w:r>
      <w:r w:rsidRPr="00F944BA">
        <w:rPr>
          <w:rFonts w:ascii="Garamond" w:hAnsi="Garamond" w:cs="Times-Roman"/>
          <w:color w:val="000000"/>
          <w:sz w:val="24"/>
          <w:szCs w:val="24"/>
          <w:lang w:val="it-IT"/>
        </w:rPr>
        <w:t>contribuito a conservare la separazione dei due elementi del passato composto.</w:t>
      </w:r>
    </w:p>
    <w:sectPr w:rsidR="000408DF" w:rsidRPr="0003604D" w:rsidSect="00C91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6DFB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B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1191"/>
    <w:multiLevelType w:val="hybridMultilevel"/>
    <w:tmpl w:val="47449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CA6"/>
    <w:rsid w:val="0001474C"/>
    <w:rsid w:val="0003604D"/>
    <w:rsid w:val="000408DF"/>
    <w:rsid w:val="00237FCA"/>
    <w:rsid w:val="00C1553A"/>
    <w:rsid w:val="00C9157B"/>
    <w:rsid w:val="00DB1CA6"/>
    <w:rsid w:val="00F9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5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6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3597</Words>
  <Characters>20507</Characters>
  <Application>Microsoft Office Word</Application>
  <DocSecurity>4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PaPaPaola</dc:creator>
  <cp:keywords/>
  <dc:description/>
  <cp:lastModifiedBy>cotticelli</cp:lastModifiedBy>
  <cp:revision>2</cp:revision>
  <cp:lastPrinted>2011-03-16T08:28:00Z</cp:lastPrinted>
  <dcterms:created xsi:type="dcterms:W3CDTF">2011-03-16T08:53:00Z</dcterms:created>
  <dcterms:modified xsi:type="dcterms:W3CDTF">2011-03-16T08:53:00Z</dcterms:modified>
</cp:coreProperties>
</file>