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BA" w:rsidRPr="00237FCA" w:rsidRDefault="00F944BA" w:rsidP="00237FCA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Garamond" w:hAnsi="Garamond" w:cs="Times-Bold"/>
          <w:b/>
          <w:bCs/>
          <w:smallCaps/>
          <w:color w:val="000000"/>
          <w:sz w:val="28"/>
          <w:szCs w:val="28"/>
          <w:lang w:val="it-IT"/>
        </w:rPr>
      </w:pPr>
      <w:r w:rsidRPr="00237FCA">
        <w:rPr>
          <w:rFonts w:ascii="Garamond" w:hAnsi="Garamond" w:cs="Times-Bold"/>
          <w:b/>
          <w:bCs/>
          <w:smallCaps/>
          <w:color w:val="000000"/>
          <w:sz w:val="28"/>
          <w:szCs w:val="28"/>
          <w:lang w:val="it-IT"/>
        </w:rPr>
        <w:t>Il mutamento sintattico</w:t>
      </w:r>
    </w:p>
    <w:p w:rsidR="00237FCA" w:rsidRDefault="00237FC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1 Introduzione: problemi generali della sintassi storica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  <w:t>1.1 La sintassi</w:t>
      </w:r>
    </w:p>
    <w:p w:rsid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La sintassi si occupa dell’analisi dei meccanismi in base ai quali vengono stabilite delle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relazioni tra le parole all'interno di una frase (studio delle costruzioni grammaticali,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come l’ordine delle parole, i problemi di accordo, i problemi di selezione). La sintassi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ha una relazione stretta con altri aspetti della linguistica: con la semantica, la prosodia,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la morfologia, il lessico.</w:t>
      </w:r>
    </w:p>
    <w:p w:rsidR="0001474C" w:rsidRPr="00F944BA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I componenti principali della sintassi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Le parole raggruppate in categorie (le diverse categorie si differenziano in base alla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morfologia o in base alla loro distribuzione). Le categorie sintattiche non corrispondono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alle categorie semantiche.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Incontrerò l’amico di Piero. Ne incontrerò l’amico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: ‘ne’ dal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punto di vista semantico è legato a ‘l’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amico’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, dal punto di vista sintattico, invece, al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verbo.</w:t>
      </w:r>
    </w:p>
    <w:p w:rsidR="00F944BA" w:rsidRPr="0003604D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Tra le parole si determinano varie strutture, relazioni. In una sequenza di parole si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possono fare raggruppamenti in maniere diverse. Per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es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, la frase nucleare italiana è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composta da un SN e un SV. Il SN è uno degli argomenti del verbo. Il raggruppamento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fino ad un certo punto si fa anche intuitivamente: </w:t>
      </w:r>
      <w:r w:rsidR="00237FCA">
        <w:rPr>
          <w:rFonts w:ascii="Garamond" w:hAnsi="Garamond" w:cs="Times-Roman"/>
          <w:color w:val="000000"/>
          <w:sz w:val="24"/>
          <w:szCs w:val="24"/>
          <w:lang w:val="it-IT"/>
        </w:rPr>
        <w:tab/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(2)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Incontrerò</w:t>
      </w:r>
      <w:r w:rsidRPr="00F944BA">
        <w:rPr>
          <w:rFonts w:ascii="Garamond" w:hAnsi="Garamond" w:cs="Symbol"/>
          <w:color w:val="000000"/>
          <w:sz w:val="24"/>
          <w:szCs w:val="24"/>
          <w:lang w:val="it-IT"/>
        </w:rPr>
        <w:t>½</w:t>
      </w:r>
      <w:proofErr w:type="spellEnd"/>
      <w:r w:rsidRPr="00F944BA">
        <w:rPr>
          <w:rFonts w:ascii="Garamond" w:hAnsi="Garamond" w:cs="Symbol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l’amico di Piero.</w:t>
      </w: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  <w:t>1.2 La sintassi in rapporto con altri campi linguistici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La semantica</w:t>
      </w:r>
    </w:p>
    <w:p w:rsidR="00F944BA" w:rsidRPr="00F944BA" w:rsidRDefault="00F944BA" w:rsidP="0003604D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(3a) Ho visto Maria. (3b) Maria l’ho vista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: Costruzioni diverse con significato diverso.</w:t>
      </w:r>
    </w:p>
    <w:p w:rsidR="0003604D" w:rsidRDefault="00F944BA" w:rsidP="0003604D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(4a) Ho scritto una lettera. (4b)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Epistulam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scriptam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habeo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: 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La frase italiana è la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derivazione storica di quella latina, ma la costruzione e anche il significato è diverso, il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cambiamento semantico è accompagnato dal cambiamento sintattico. La semantica è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una delle più importanti cause del cambiamento sintattico.</w:t>
      </w: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Fonologia, in particolare la prosodia</w:t>
      </w:r>
    </w:p>
    <w:p w:rsidR="0003604D" w:rsidRDefault="00F944BA" w:rsidP="000360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(5a) Piero vede Maria. (5b) PIERO vede Maria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: </w:t>
      </w:r>
    </w:p>
    <w:p w:rsidR="00237FCA" w:rsidRDefault="00F944BA" w:rsidP="00237FC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La pronuncia con enfasi permette a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‘Piero’ di essere sia il soggetto che l’oggetto della frase. La differenza nell’intonazione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è legata alla differenza del significato.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Nella linguistica storica è difficile prendere in considerazione la prosodia; la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versificazione è una delle rare possibilità: </w:t>
      </w:r>
    </w:p>
    <w:p w:rsidR="00F944BA" w:rsidRPr="00F944BA" w:rsidRDefault="00F944BA" w:rsidP="00237FCA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(6) Ceste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bataile|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veirement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la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ferun</w:t>
      </w:r>
      <w:proofErr w:type="spellEnd"/>
      <w:r w:rsidR="00237FC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(Chanson de Roland).</w:t>
      </w:r>
    </w:p>
    <w:p w:rsidR="00F944BA" w:rsidRPr="00F944BA" w:rsidRDefault="00F944BA" w:rsidP="00237FCA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(7a) Piero mangia la minestra.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(SVO)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(7b) LA MINESTRA mangia Piero.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(OVS)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La prosodia ci aiuta a capire se l’ordine è </w:t>
      </w: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 xml:space="preserve">marcato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o </w:t>
      </w: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 xml:space="preserve">non-marcato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(l’ordine “neutro”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delle parole).</w:t>
      </w:r>
    </w:p>
    <w:p w:rsidR="00F944BA" w:rsidRPr="00F944BA" w:rsidRDefault="00237FC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proofErr w:type="spellStart"/>
      <w:r>
        <w:rPr>
          <w:rFonts w:ascii="Garamond" w:hAnsi="Garamond" w:cs="Times-Roman"/>
          <w:color w:val="000000"/>
          <w:sz w:val="24"/>
          <w:szCs w:val="24"/>
          <w:lang w:val="it-IT"/>
        </w:rPr>
        <w:t>*</w:t>
      </w:r>
      <w:r w:rsidR="00F944BA" w:rsidRPr="00F944BA">
        <w:rPr>
          <w:rFonts w:ascii="Garamond" w:hAnsi="Garamond" w:cs="Times-Roman"/>
          <w:color w:val="000000"/>
          <w:sz w:val="24"/>
          <w:szCs w:val="24"/>
          <w:lang w:val="it-IT"/>
        </w:rPr>
        <w:t>La</w:t>
      </w:r>
      <w:proofErr w:type="spellEnd"/>
      <w:r w:rsidR="00F944BA"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proofErr w:type="spellStart"/>
      <w:r w:rsidR="00F944BA" w:rsidRPr="00F944BA">
        <w:rPr>
          <w:rFonts w:ascii="Garamond" w:hAnsi="Garamond" w:cs="Times-Roman"/>
          <w:color w:val="000000"/>
          <w:sz w:val="24"/>
          <w:szCs w:val="24"/>
          <w:lang w:val="it-IT"/>
        </w:rPr>
        <w:t>marcatezza</w:t>
      </w:r>
      <w:proofErr w:type="spellEnd"/>
      <w:r w:rsidR="00F944BA" w:rsidRPr="00F944BA">
        <w:rPr>
          <w:rFonts w:ascii="Garamond" w:hAnsi="Garamond" w:cs="Times-Roman"/>
          <w:color w:val="000000"/>
          <w:sz w:val="24"/>
          <w:szCs w:val="24"/>
          <w:lang w:val="it-IT"/>
        </w:rPr>
        <w:t>: in una coppia di opposizione l’elemento marcato è di us</w:t>
      </w:r>
      <w:r w:rsidR="0001474C">
        <w:rPr>
          <w:rFonts w:ascii="Garamond" w:hAnsi="Garamond" w:cs="Times-Roman"/>
          <w:color w:val="000000"/>
          <w:sz w:val="24"/>
          <w:szCs w:val="24"/>
          <w:lang w:val="it-IT"/>
        </w:rPr>
        <w:t xml:space="preserve">o meno frequente ed in contesto </w:t>
      </w:r>
      <w:r w:rsidR="00F944BA" w:rsidRPr="00F944BA">
        <w:rPr>
          <w:rFonts w:ascii="Garamond" w:hAnsi="Garamond" w:cs="Times-Roman"/>
          <w:color w:val="000000"/>
          <w:sz w:val="24"/>
          <w:szCs w:val="24"/>
          <w:lang w:val="it-IT"/>
        </w:rPr>
        <w:t>non neutro; il membro ‘non marcato’ sarà quello più frequente ed adoperato anche in contesti neutri.</w:t>
      </w:r>
      <w:r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="00F944BA" w:rsidRPr="00F944BA">
        <w:rPr>
          <w:rFonts w:ascii="Garamond" w:hAnsi="Garamond" w:cs="Times-Roman"/>
          <w:color w:val="000000"/>
          <w:sz w:val="24"/>
          <w:szCs w:val="24"/>
          <w:lang w:val="it-IT"/>
        </w:rPr>
        <w:t>Oltre a questa accezione, si parla anche di ‘</w:t>
      </w:r>
      <w:proofErr w:type="spellStart"/>
      <w:r w:rsidR="00F944BA" w:rsidRPr="00F944BA">
        <w:rPr>
          <w:rFonts w:ascii="Garamond" w:hAnsi="Garamond" w:cs="Times-Roman"/>
          <w:color w:val="000000"/>
          <w:sz w:val="24"/>
          <w:szCs w:val="24"/>
          <w:lang w:val="it-IT"/>
        </w:rPr>
        <w:t>marcatezza</w:t>
      </w:r>
      <w:proofErr w:type="spellEnd"/>
      <w:r w:rsidR="00F944BA"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tipologica’: in questo caso, si definirà ‘non</w:t>
      </w:r>
      <w:r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="00F944BA" w:rsidRPr="00F944BA">
        <w:rPr>
          <w:rFonts w:ascii="Garamond" w:hAnsi="Garamond" w:cs="Times-Roman"/>
          <w:color w:val="000000"/>
          <w:sz w:val="24"/>
          <w:szCs w:val="24"/>
          <w:lang w:val="it-IT"/>
        </w:rPr>
        <w:t>marcato’ l’elemento che ricorre più spesso a livello tipologico.</w:t>
      </w: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Morfologia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La morfologia e la sintassi hanno lo stesso lavoro, si dividono il campo. In certi casi si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possono sostituire all’interno della stessa lingua:</w:t>
      </w:r>
    </w:p>
    <w:p w:rsidR="00F944BA" w:rsidRPr="00F944BA" w:rsidRDefault="00F944BA" w:rsidP="00237F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(7) cantai, ho cantato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(espressione del passato in italiano)</w:t>
      </w:r>
    </w:p>
    <w:p w:rsidR="00F944BA" w:rsidRPr="00F944BA" w:rsidRDefault="00F944BA" w:rsidP="00237F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(8)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Marilei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, lui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Petru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(espressione del dativo in rumeno)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Si possono sostituire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diacronicamente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:</w:t>
      </w:r>
    </w:p>
    <w:p w:rsidR="00F944BA" w:rsidRPr="00F944BA" w:rsidRDefault="00F944BA" w:rsidP="00237F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(8)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cecinerim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Symbol"/>
          <w:color w:val="000000"/>
          <w:sz w:val="24"/>
          <w:szCs w:val="24"/>
          <w:lang w:val="it-IT"/>
        </w:rPr>
        <w:t xml:space="preserve">®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abbia cantato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(a forma morfologica va in disuso e viene sostituita da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una costruzione sintattica)</w:t>
      </w:r>
    </w:p>
    <w:p w:rsidR="00F944BA" w:rsidRPr="00F944BA" w:rsidRDefault="00F944BA" w:rsidP="00237F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(9) DARE + HABEO </w:t>
      </w:r>
      <w:r w:rsidRPr="00F944BA">
        <w:rPr>
          <w:rFonts w:ascii="Garamond" w:hAnsi="Garamond" w:cs="Symbol"/>
          <w:color w:val="000000"/>
          <w:sz w:val="24"/>
          <w:szCs w:val="24"/>
          <w:lang w:val="it-IT"/>
        </w:rPr>
        <w:t xml:space="preserve">®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darò</w:t>
      </w: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Lessico</w:t>
      </w:r>
    </w:p>
    <w:p w:rsidR="00F944BA" w:rsidRPr="00F944BA" w:rsidRDefault="00F944BA" w:rsidP="00237FCA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(9a) Lo faccio venire. (9b)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*Lo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mando venire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Ci sono dei limiti nella scelta dei verbi che possono partecipare in un certo costrutto.</w:t>
      </w:r>
      <w:r w:rsidR="00237FC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Queste proprietà sintattiche possono cambiare nel tempo: per es. nell’italiano antico il</w:t>
      </w:r>
      <w:r w:rsidR="00237FC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verbo ‘sembrare’ si usava solo col complemento predicativo, tipo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sembra bello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,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sembra</w:t>
      </w:r>
      <w:r w:rsidR="00237FC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conveniente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. Nell’italiano di oggi il verbo ‘sembrare’ può ricorrere in tutte le strutture</w:t>
      </w:r>
      <w:r w:rsidR="00237FC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che prima erano riservate solo al verbo ‘parere’. Tipo: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sembra che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,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mi sembra di poter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.</w:t>
      </w: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</w:pP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  <w:t>1.3 La sintassi storica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La </w:t>
      </w: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 xml:space="preserve">sintassi storica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si occupa: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Symbol"/>
          <w:color w:val="000000"/>
          <w:sz w:val="24"/>
          <w:szCs w:val="24"/>
          <w:lang w:val="it-IT"/>
        </w:rPr>
        <w:t xml:space="preserve">•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dei cambiamenti delle strutture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Symbol"/>
          <w:color w:val="000000"/>
          <w:sz w:val="24"/>
          <w:szCs w:val="24"/>
          <w:lang w:val="it-IT"/>
        </w:rPr>
        <w:lastRenderedPageBreak/>
        <w:t xml:space="preserve">•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del perché del cambiamento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1.3.1 Due approcci al mutamento sintattico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Il punto di partenza per spiegare il cambiamento sintattico nell’approccio </w:t>
      </w:r>
      <w:proofErr w:type="spellStart"/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chomskyano</w:t>
      </w:r>
      <w:proofErr w:type="spellEnd"/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(generativista) è l’acquisizione del linguaggio. Ogni nuova generazione deve riacquisire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la grammatica: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Grammatica I -----</w:t>
      </w:r>
      <w:r w:rsidRPr="00F944BA">
        <w:rPr>
          <w:rFonts w:ascii="Garamond" w:hAnsi="Garamond" w:cs="Symbol"/>
          <w:color w:val="000000"/>
          <w:sz w:val="24"/>
          <w:szCs w:val="24"/>
          <w:lang w:val="it-IT"/>
        </w:rPr>
        <w:t xml:space="preserve">®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Lingua I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Grammatica II -----</w:t>
      </w:r>
      <w:r w:rsidRPr="00F944BA">
        <w:rPr>
          <w:rFonts w:ascii="Garamond" w:hAnsi="Garamond" w:cs="Symbol"/>
          <w:color w:val="000000"/>
          <w:sz w:val="24"/>
          <w:szCs w:val="24"/>
          <w:lang w:val="it-IT"/>
        </w:rPr>
        <w:t xml:space="preserve">®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Lingua II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L’acquisizione linguistica, in questo approccio, consiste nel fissare dei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Parametri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(cioè</w:t>
      </w:r>
      <w:r w:rsidR="00237FC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scegliere tra ciò che è opzionale nella Grammatica Universale), mentre altre</w:t>
      </w:r>
      <w:r w:rsidR="00237FC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informazioni sono geneticamente codificate (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Principi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). I bambini imparano la lingua in</w:t>
      </w:r>
      <w:r w:rsidR="00237FC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base ai dati linguistici ai quali sono esposti. I dati linguistici, entrando in contatto con la</w:t>
      </w:r>
      <w:r w:rsidR="00237FC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conoscenza innata, portano alla creazione della grammatica della data lingua. Nel</w:t>
      </w:r>
      <w:r w:rsidR="00237FC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processo di associare forme e regole, succedono ‘equivoci’ (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rianalisi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dei dati</w:t>
      </w:r>
      <w:r w:rsidR="00237FC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linguistici), che sono alla base del cambiamento linguistico. La spiegazione dell’analisi</w:t>
      </w:r>
      <w:r w:rsidR="00237FC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linguistica diversa da quella delle generazioni precedenti, deve essere contenuta nei dati</w:t>
      </w:r>
    </w:p>
    <w:p w:rsidR="00F944BA" w:rsidRPr="00237FC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che il parlante riceve al momento dell’apprendimento: per es. a causa dei contatti</w:t>
      </w:r>
      <w:r w:rsidR="00237FC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linguistici, prestito; cambiamento nel percentuale dei dati per una moda linguistica; usi</w:t>
      </w:r>
      <w:r w:rsidR="00237FC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di tipo espressivo</w:t>
      </w:r>
      <w:r w:rsidRPr="00F944BA">
        <w:rPr>
          <w:rFonts w:ascii="Garamond" w:hAnsi="Garamond" w:cs="Times-Roman"/>
          <w:color w:val="0000FF"/>
          <w:sz w:val="24"/>
          <w:szCs w:val="24"/>
          <w:lang w:val="it-IT"/>
        </w:rPr>
        <w:t>.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Secondo l’approccio </w:t>
      </w:r>
      <w:proofErr w:type="spellStart"/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tipologico-funzionalista</w:t>
      </w:r>
      <w:proofErr w:type="spellEnd"/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gli elementi linguistici cambiano</w:t>
      </w:r>
      <w:r w:rsidR="00237FC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gradualmente seguendo passaggi universali. La spiegazione semantica del cambiamento</w:t>
      </w:r>
      <w:r w:rsidR="00237FC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linguistico prevale sulla spiegazione sintattica, perché il cambiamento linguistico non è</w:t>
      </w:r>
      <w:r w:rsidR="00237FC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un prodotto arbitrario di uno sviluppo linguistico autonomo, ma è un processo che ha</w:t>
      </w:r>
      <w:r w:rsidR="00237FC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una motivazione sistematica e concettuale. Il punto tipico per identificare il</w:t>
      </w:r>
      <w:r w:rsidR="00237FC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cambiamento linguistico è l’ascoltatore, che deve interpretare la struttura di un</w:t>
      </w:r>
      <w:r w:rsidR="00237FC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enunciato in cui il parlante non ha reso implicito le sue intenzioni comunicative. Queste</w:t>
      </w:r>
      <w:r w:rsidR="00237FC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circostanze permettono una certa varietà di interpretazioni e le restrizioni che</w:t>
      </w:r>
      <w:r w:rsidR="00237FC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condurranno a scegliere l’interpretazione finale verranno dalle conoscenze condivise e</w:t>
      </w:r>
      <w:r w:rsidR="00237FC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da fattori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concettuali-semantici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propri dell’uomo.</w:t>
      </w: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 xml:space="preserve">1.3.2 </w:t>
      </w:r>
      <w:proofErr w:type="spellStart"/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Rianalisi</w:t>
      </w:r>
      <w:proofErr w:type="spellEnd"/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, prestito, analogia e grammaticalizzazione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 xml:space="preserve">A) </w:t>
      </w:r>
      <w:proofErr w:type="spellStart"/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Rianalisi</w:t>
      </w:r>
      <w:proofErr w:type="spellEnd"/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Il ciclo della negazione: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Symbol"/>
          <w:color w:val="000000"/>
          <w:sz w:val="24"/>
          <w:szCs w:val="24"/>
          <w:lang w:val="it-IT"/>
        </w:rPr>
        <w:t xml:space="preserve">•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Il latino e in generale le lingue romanze riservano alla negazione il posto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precedente al verbo: lat.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non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intellegit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,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it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.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non capisce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.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Symbol"/>
          <w:color w:val="000000"/>
          <w:sz w:val="24"/>
          <w:szCs w:val="24"/>
          <w:lang w:val="it-IT"/>
        </w:rPr>
        <w:t xml:space="preserve">•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In antico francese, la negazione enfatica viene ottenuta mediante l’unione della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negazione standard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ne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(&lt; latino NON) e sostantivi come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point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‘punto’,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pas</w:t>
      </w:r>
      <w:proofErr w:type="spellEnd"/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‘passo’,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personne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`persona'.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Symbol"/>
          <w:color w:val="000000"/>
          <w:sz w:val="24"/>
          <w:szCs w:val="24"/>
          <w:lang w:val="it-IT"/>
        </w:rPr>
        <w:t xml:space="preserve">•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Successivamente, il sostantivo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pas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diviene obbligatorio con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ne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, producendo una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nuova forma di negazione standard,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ne ...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pas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, ad esempio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je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ne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sais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pas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r w:rsidR="0001474C">
        <w:rPr>
          <w:rFonts w:ascii="Garamond" w:hAnsi="Garamond" w:cs="Times-Roman"/>
          <w:color w:val="000000"/>
          <w:sz w:val="24"/>
          <w:szCs w:val="24"/>
          <w:lang w:val="it-IT"/>
        </w:rPr>
        <w:t xml:space="preserve">‘non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so’.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Symbol"/>
          <w:color w:val="000000"/>
          <w:sz w:val="24"/>
          <w:szCs w:val="24"/>
          <w:lang w:val="it-IT"/>
        </w:rPr>
        <w:t xml:space="preserve">•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‘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pas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’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viene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rianalizzato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come la forma negativa, producendo la forma di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negazione colloquiale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...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pas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, ad esempio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je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sais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pas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‘so mica’ (anche in Italia è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largamente diffusa una seconda parte di negazione semanticamente “vuota”,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come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lomb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. e ven.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miga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,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bologn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.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brisa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,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tosc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.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mica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,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salent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.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filu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, ecc. Questo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secondo elemento è diventato in alcuni casi l’unico obbligatorio, come in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lomb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.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capissi minga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‘non capisco’,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piem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.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capissu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nèn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.)</w:t>
      </w: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</w:p>
    <w:p w:rsidR="00F944BA" w:rsidRPr="0003604D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b/>
          <w:color w:val="000000"/>
          <w:sz w:val="24"/>
          <w:szCs w:val="24"/>
          <w:lang w:val="it-IT"/>
        </w:rPr>
      </w:pPr>
      <w:r w:rsidRPr="0003604D">
        <w:rPr>
          <w:rFonts w:ascii="Garamond" w:hAnsi="Garamond" w:cs="Times-Roman"/>
          <w:b/>
          <w:color w:val="000000"/>
          <w:sz w:val="24"/>
          <w:szCs w:val="24"/>
          <w:lang w:val="it-IT"/>
        </w:rPr>
        <w:t>L'ordine dei costituenti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Le lingue del mondo mostrano diversi tipi di ordine dei costituenti, ad esempio SVO,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SOV, VSO. Esistono numerose correlazioni tra gli ordini dei costituenti, tali per cui se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una lingua presenta un certo ordine dei costituenti in relazione ad un determinato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parametro (ad esempio, SVO), allora presenterà anche un certo ordine dei costituenti in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relazione ad un altro parametro (ad esempio,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Prep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, NG). I vari ordini dei costituenti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sono però soggetti a mutamento nel corso dell'evoluzione delle lingue. Il mutamento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può essere determinato dalla </w:t>
      </w:r>
      <w:proofErr w:type="spellStart"/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rianalisi</w:t>
      </w:r>
      <w:proofErr w:type="spellEnd"/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di particolari costruzioni, o da fattori come il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 xml:space="preserve">prestito sintattico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da altre lingue</w:t>
      </w: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B) Prestito sintattico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Il neogreco ha perduto l’infinito nelle proposizioni oggettive e lo sostituisce col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congiuntivo. Il calabrese usa lo stesso processo, certo per calco sul greco, sostituendo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vá</w:t>
      </w:r>
      <w:proofErr w:type="spellEnd"/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del neogreco con la congiunzione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mu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(&lt; lat. MODO) in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voliti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mu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veniti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‘volete venire’.</w:t>
      </w: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 xml:space="preserve">C) Estensione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(</w:t>
      </w: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analogia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, generalizzazione): l'introduzione di nuove costruzioni per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codificare un ambito concettuale inizialmente espresso mediante altre costruzioni.</w:t>
      </w: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 xml:space="preserve">D)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La </w:t>
      </w: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 xml:space="preserve">grammaticalizzazione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è un processo diacronico unidirezionale tramite il quale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gli elementi lessicali si rivestono di un nuovo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status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grammaticale, morfosintattico.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Questo processo rispecchia una tendenza cognitiva umana generale, per la quale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cerchiamo di esprimere i concetti astratti con l’aiuto di concetti concreti.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Elementi lessicali vs. elementi grammaticali (Hopper and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Traugott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1993:4):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Symbol"/>
          <w:color w:val="000000"/>
          <w:sz w:val="24"/>
          <w:szCs w:val="24"/>
          <w:lang w:val="it-IT"/>
        </w:rPr>
        <w:t xml:space="preserve">•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Elementi lessicali (nomi, aggettivi, verbi): appartengono a classi aperte, e</w:t>
      </w:r>
      <w:r w:rsidR="00237FC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denotano oggetti, eventi e proprietà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Symbol"/>
          <w:color w:val="000000"/>
          <w:sz w:val="24"/>
          <w:szCs w:val="24"/>
          <w:lang w:val="it-IT"/>
        </w:rPr>
        <w:t xml:space="preserve">•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Elementi grammaticali (congiunzioni, pronomi,</w:t>
      </w:r>
      <w:r w:rsidR="0001474C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articoli, apposizioni, affissi f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lessivi e derivazionali, clitici etc.): apparteng</w:t>
      </w:r>
      <w:r w:rsidR="0001474C">
        <w:rPr>
          <w:rFonts w:ascii="Garamond" w:hAnsi="Garamond" w:cs="Times-Roman"/>
          <w:color w:val="000000"/>
          <w:sz w:val="24"/>
          <w:szCs w:val="24"/>
          <w:lang w:val="it-IT"/>
        </w:rPr>
        <w:t xml:space="preserve">ono a classi chiuse, e indicano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relazioni tra le entità denotate dagli elementi lessicali</w:t>
      </w: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</w:p>
    <w:p w:rsidR="00F944BA" w:rsidRPr="00C1553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b/>
          <w:color w:val="000000"/>
          <w:sz w:val="24"/>
          <w:szCs w:val="24"/>
          <w:lang w:val="it-IT"/>
        </w:rPr>
      </w:pPr>
      <w:r w:rsidRPr="00C1553A">
        <w:rPr>
          <w:rFonts w:ascii="Garamond" w:hAnsi="Garamond" w:cs="Times-Roman"/>
          <w:b/>
          <w:color w:val="000000"/>
          <w:sz w:val="24"/>
          <w:szCs w:val="24"/>
          <w:lang w:val="it-IT"/>
        </w:rPr>
        <w:t>Il continuum della grammaticalizzazione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livello Discorso Sintassi Morfologia Morfofonematica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tecnica isolante &gt; analitico &gt; </w:t>
      </w:r>
      <w:r w:rsidR="00C1553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sintetico agglutinante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&gt; sintetico</w:t>
      </w:r>
      <w:r w:rsidR="0001474C">
        <w:rPr>
          <w:rFonts w:ascii="Garamond" w:hAnsi="Garamond" w:cs="Times-Roman"/>
          <w:color w:val="000000"/>
          <w:sz w:val="24"/>
          <w:szCs w:val="24"/>
          <w:lang w:val="it-IT"/>
        </w:rPr>
        <w:t>-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flessionale</w:t>
      </w:r>
      <w:r w:rsidR="00C1553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&gt; zero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fase collocazione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sintatticizzazione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morfologizzazione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demorfemicizzazione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perdita</w:t>
      </w:r>
    </w:p>
    <w:p w:rsidR="00C1553A" w:rsidRDefault="00C1553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C1553A">
        <w:rPr>
          <w:rFonts w:ascii="Garamond" w:hAnsi="Garamond" w:cs="Times-Roman"/>
          <w:b/>
          <w:color w:val="000000"/>
          <w:sz w:val="24"/>
          <w:szCs w:val="24"/>
          <w:lang w:val="it-IT"/>
        </w:rPr>
        <w:t>Fattori tipici dei processi di grammaticalizzazione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: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Symbol"/>
          <w:color w:val="000000"/>
          <w:sz w:val="24"/>
          <w:szCs w:val="24"/>
          <w:lang w:val="it-IT"/>
        </w:rPr>
        <w:t xml:space="preserve">•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Metafora e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convenzionalizzazione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di inferenze pragmatiche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Symbol"/>
          <w:color w:val="000000"/>
          <w:sz w:val="24"/>
          <w:szCs w:val="24"/>
          <w:lang w:val="it-IT"/>
        </w:rPr>
        <w:t xml:space="preserve">•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Estensione: la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rianalisi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viene applicata a contesti non compatibili con le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caratteristiche semantiche del contesto originario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Symbol"/>
          <w:color w:val="000000"/>
          <w:sz w:val="24"/>
          <w:szCs w:val="24"/>
          <w:lang w:val="it-IT"/>
        </w:rPr>
        <w:t xml:space="preserve">•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Unidirezionalità</w:t>
      </w:r>
      <w:proofErr w:type="spellEnd"/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Symbol"/>
          <w:color w:val="000000"/>
          <w:sz w:val="24"/>
          <w:szCs w:val="24"/>
          <w:lang w:val="it-IT"/>
        </w:rPr>
        <w:t xml:space="preserve">•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Formazione di diversi livelli: l'originaria forma lessicale può sopravvivere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accanto al suo esito grammaticalizzato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Symbol"/>
          <w:color w:val="000000"/>
          <w:sz w:val="24"/>
          <w:szCs w:val="24"/>
          <w:lang w:val="it-IT"/>
        </w:rPr>
        <w:t xml:space="preserve">•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Rinnovamento: gli elementi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decategorializzati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ed erosi vengono sostituiti da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nuovi elementi</w:t>
      </w: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Lo sviluppo del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passé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récent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in francese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(10a)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Je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viens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de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Lyon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io vengo da Lione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‘Vengo da Lione’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(10 b)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Je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viens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de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manger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io vengo da mangiare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‘ho appena mangiato’</w:t>
      </w:r>
    </w:p>
    <w:p w:rsidR="00C1553A" w:rsidRDefault="00C1553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</w:p>
    <w:p w:rsidR="00F944BA" w:rsidRPr="00C1553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b/>
          <w:color w:val="000000"/>
          <w:sz w:val="24"/>
          <w:szCs w:val="24"/>
          <w:lang w:val="it-IT"/>
        </w:rPr>
      </w:pPr>
      <w:r w:rsidRPr="00C1553A">
        <w:rPr>
          <w:rFonts w:ascii="Garamond" w:hAnsi="Garamond" w:cs="Times-Roman"/>
          <w:b/>
          <w:color w:val="000000"/>
          <w:sz w:val="24"/>
          <w:szCs w:val="24"/>
          <w:lang w:val="it-IT"/>
        </w:rPr>
        <w:t>Alcune implicazioni dei processi di grammaticalizzazione per una teoria del linguaggio: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Symbol"/>
          <w:color w:val="000000"/>
          <w:sz w:val="24"/>
          <w:szCs w:val="24"/>
          <w:lang w:val="it-IT"/>
        </w:rPr>
        <w:t xml:space="preserve">•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Le categorie grammaticali tradizionali spesso non valgono a classificare gli</w:t>
      </w:r>
      <w:r w:rsidR="00C1553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elementi grammaticalizzati, che presentano proprietà di diverse categorie.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Symbol"/>
          <w:color w:val="000000"/>
          <w:sz w:val="24"/>
          <w:szCs w:val="24"/>
          <w:lang w:val="it-IT"/>
        </w:rPr>
        <w:t xml:space="preserve">•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Normalmente si stabilisce una distinzione tra studio delle lingue a livello</w:t>
      </w:r>
      <w:r w:rsidR="00C1553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sincronico e a livello. Ma poiché le lingue sono in continua evoluzione, la</w:t>
      </w:r>
      <w:r w:rsidR="00C1553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dicotomia tra sincronia e diacronia è artificiale.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Symbol"/>
          <w:color w:val="000000"/>
          <w:sz w:val="24"/>
          <w:szCs w:val="24"/>
          <w:lang w:val="it-IT"/>
        </w:rPr>
        <w:t xml:space="preserve">•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La grammatica delle lingue non è un insieme di regole prestabilite e immutabili,</w:t>
      </w:r>
      <w:r w:rsidR="00C1553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ma piuttosto un sistema convenzionale che viene di volta in volta modificato dai</w:t>
      </w:r>
      <w:r w:rsidR="00C1553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parlanti in base alle esigenze del processo comunicativo.</w:t>
      </w: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2 Il passato composto con l’ausiliare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  <w:t>2.1 Introduzione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Un’innovazione delle lingue romanze rispetto al latino è la creazione di forme verbali</w:t>
      </w:r>
      <w:r w:rsidR="00C1553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perifrastiche per l’espressione dell’anteriorità. Il tipo più diffuso è quello del participio</w:t>
      </w:r>
      <w:r w:rsidR="00C1553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passato accompagnato dall’ausiliare “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avere”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. Italiano: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essere/avere2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, francese: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être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/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avoir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, rumeno: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avea</w:t>
      </w:r>
      <w:proofErr w:type="spellEnd"/>
      <w:r w:rsidRPr="00F944BA">
        <w:rPr>
          <w:rFonts w:ascii="Garamond" w:hAnsi="Garamond" w:cs="TTE16DFB60t00"/>
          <w:color w:val="000000"/>
          <w:sz w:val="24"/>
          <w:szCs w:val="24"/>
          <w:lang w:val="it-IT"/>
        </w:rPr>
        <w:t xml:space="preserve">,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catalano: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haver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(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tenir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)</w:t>
      </w:r>
      <w:r w:rsidRPr="00F944BA">
        <w:rPr>
          <w:rFonts w:ascii="Garamond" w:hAnsi="Garamond" w:cs="Times-Roman"/>
          <w:color w:val="0E3232"/>
          <w:sz w:val="24"/>
          <w:szCs w:val="24"/>
          <w:lang w:val="it-IT"/>
        </w:rPr>
        <w:t xml:space="preserve">,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spagnolo: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haber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(tener)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, portoghese: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ter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(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haver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).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Il passato prossimo in italiano: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(1) Piero ha scritto una lettera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- Esprime anteriorità, compiutezza; equivalente latino: SCRIPSIT3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- Rapporto di reggenza tra ‘scritto’ (scrivere) e </w:t>
      </w:r>
      <w:r w:rsidR="0001474C">
        <w:rPr>
          <w:rFonts w:ascii="Garamond" w:hAnsi="Garamond" w:cs="Times-Roman"/>
          <w:color w:val="000000"/>
          <w:sz w:val="24"/>
          <w:szCs w:val="24"/>
          <w:lang w:val="it-IT"/>
        </w:rPr>
        <w:t xml:space="preserve">‘lettera’; l’ausiliare regge il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participio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- Componenti: V + Complemento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Dal significato odierno del verbo ‘avere’ (possesso e altri tipi di relazione) non si può</w:t>
      </w:r>
      <w:r w:rsidR="00C1553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dedurre perché serve a formare il passato. Non c’è cioè una motivazione sincronica che</w:t>
      </w:r>
      <w:r w:rsidR="00C1553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spieghi che relazione ci sia tra il significato di “avere” e il significato di “anteriorità”.</w:t>
      </w:r>
      <w:r w:rsidR="00C1553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C’è però un fatto interessante: in molte lingue troviamo costruzioni analoghe, cioè</w:t>
      </w:r>
      <w:r w:rsidR="00C1553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perifrasi che indicano anteriorità costruite con un verbo che indica possesso (per es.</w:t>
      </w:r>
      <w:r w:rsidR="00C1553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l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ingue germaniche, celtiche; ma anche lingue non-indoeuropee).</w:t>
      </w: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Costrutto latino all’origine della costruzione romanza: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(2)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Epistulam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scriptam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habeo</w:t>
      </w:r>
      <w:proofErr w:type="spellEnd"/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- Esprime uno stato presente, ‘ho una lettera scritta’; qui HABEO indica il possesso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- Rapporto di predicazione tra ‘EPISTULAM’ e ‘SCRIPTAM’; rapporto di tipo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reggenza tra ‘EPISTULAM’ e ‘HABEO’; nessun rapporto tra participio e verbo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- I componenti sintattici: V + 2 Complementi</w:t>
      </w: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  <w:t>2.2 L’analisi delle due strutture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A) Analisi del numero dei costituenti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(3a) Tengo gli occhi aperti.</w:t>
      </w:r>
    </w:p>
    <w:p w:rsidR="00F944BA" w:rsidRPr="0003604D" w:rsidRDefault="00F944BA" w:rsidP="0003604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In questa frase </w:t>
      </w:r>
      <w:r w:rsidRPr="0003604D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gli occhi </w:t>
      </w:r>
      <w:r w:rsidRP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e </w:t>
      </w:r>
      <w:r w:rsidRPr="0003604D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aperti </w:t>
      </w:r>
      <w:r w:rsidRPr="0003604D">
        <w:rPr>
          <w:rFonts w:ascii="Garamond" w:hAnsi="Garamond" w:cs="Times-Roman"/>
          <w:color w:val="000000"/>
          <w:sz w:val="24"/>
          <w:szCs w:val="24"/>
          <w:lang w:val="it-IT"/>
        </w:rPr>
        <w:t>sono due costituenti diversi, di conseguenza, possono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essere pronominalizzati indipendentemente:</w:t>
      </w:r>
    </w:p>
    <w:p w:rsidR="00F944BA" w:rsidRPr="00F944BA" w:rsidRDefault="00F944BA" w:rsidP="00C155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(3b) Li tengo aperti.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(cfr.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Leggo il libro verde. Lo leggo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)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2</w:t>
      </w:r>
      <w:r w:rsidR="00C1553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.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Nelle lingue romanze e germaniche l’alternanza dell’ausiliare ‘essere’ o ‘avere’ avviene secondo le</w:t>
      </w:r>
      <w:r w:rsidR="00C1553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classi verbali: si usa ‘avere’ con i transitivi e gli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inergativi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(intransitivi non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inaccusativi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), mentre ‘essere’</w:t>
      </w:r>
      <w:r w:rsidR="00C1553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ricorre (in misure variabili) con gli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inaccusativi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. Un test per stabilire l’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inaccusatività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: possibilità di</w:t>
      </w:r>
      <w:r w:rsidR="00C1553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pronominalizzare il soggetto posposto degli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inaccusativi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, ma non degli altri verbi:</w:t>
      </w:r>
    </w:p>
    <w:p w:rsidR="00F944BA" w:rsidRPr="00F944BA" w:rsidRDefault="00C1553A" w:rsidP="00C155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r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r w:rsidR="00F944BA"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(i) Sono arrivati due ragazzi. Ne sono arrivati due.</w:t>
      </w:r>
    </w:p>
    <w:p w:rsidR="00F944BA" w:rsidRPr="00F944BA" w:rsidRDefault="00F944BA" w:rsidP="00C155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(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ii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) Hanno telefonato due ragazzi.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*Ne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hanno telefonato due.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3</w:t>
      </w:r>
      <w:r w:rsidR="00C1553A">
        <w:rPr>
          <w:rFonts w:ascii="Garamond" w:hAnsi="Garamond" w:cs="Times-Roman"/>
          <w:color w:val="000000"/>
          <w:sz w:val="24"/>
          <w:szCs w:val="24"/>
          <w:lang w:val="it-IT"/>
        </w:rPr>
        <w:t>.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In questa sede non ci occupiamo della distribuzione tra passato composto</w:t>
      </w:r>
      <w:r w:rsidR="0001474C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e passato semplice nelle varie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lingue romanze. In grandi linee, nell’italiano letterario, in rum. e in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fr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. il</w:t>
      </w:r>
      <w:r w:rsidR="0001474C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passato remoto è diventato una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forma tipica della narrazione storica. In catalano si è formato un nuovo tempo perifrastico, fa</w:t>
      </w:r>
      <w:r w:rsidR="0001474C">
        <w:rPr>
          <w:rFonts w:ascii="Garamond" w:hAnsi="Garamond" w:cs="Times-Roman"/>
          <w:color w:val="000000"/>
          <w:sz w:val="24"/>
          <w:szCs w:val="24"/>
          <w:lang w:val="it-IT"/>
        </w:rPr>
        <w:t xml:space="preserve">tto con il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verbo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anar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‘andare’: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va cantar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‘cantò’ in opposizione a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ha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cantat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‘ha cantato’.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Da questa tendenza innovativa sembrano essere esclusi il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port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., lo sp., l’occitanic</w:t>
      </w:r>
      <w:r w:rsidR="0001474C">
        <w:rPr>
          <w:rFonts w:ascii="Garamond" w:hAnsi="Garamond" w:cs="Times-Roman"/>
          <w:color w:val="000000"/>
          <w:sz w:val="24"/>
          <w:szCs w:val="24"/>
          <w:lang w:val="it-IT"/>
        </w:rPr>
        <w:t xml:space="preserve">o, l’italiano centromeridionale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e anche il toscano.</w:t>
      </w: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</w:p>
    <w:p w:rsidR="00F944BA" w:rsidRPr="00F944BA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r w:rsidR="00C1553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ab/>
      </w:r>
      <w:r w:rsidR="00F944BA"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(3c) Gli occhi che tengo sempre aperti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Alla costruzione latina dobbiamo assegnare questa struttura, perché mostra “prove”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analoghe: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(3d) (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Equitatum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)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quem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ex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omni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provincia …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coactum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habebat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(Cesare, De</w:t>
      </w:r>
    </w:p>
    <w:p w:rsidR="00F944BA" w:rsidRPr="00F944BA" w:rsidRDefault="00F944BA" w:rsidP="00C155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bello gallico, I, 15, 1) ‘La cavalleria che aveva (perché l’aveva) riunita da ogni</w:t>
      </w:r>
    </w:p>
    <w:p w:rsidR="00F944BA" w:rsidRPr="00F944BA" w:rsidRDefault="00F944BA" w:rsidP="00C155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provincia’</w:t>
      </w: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B) Il participio si comporta sintatticamente come un aggettivo</w:t>
      </w:r>
    </w:p>
    <w:p w:rsidR="00C1553A" w:rsidRDefault="00F944BA" w:rsidP="00C155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(4a) La porta è chiusa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: 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Questa frase è potenzialmente ambigua. Per evidenziare il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significato possiamo b) aggiungere un avverbio che evidenzi il valore verbale del</w:t>
      </w:r>
      <w:r w:rsidR="00C1553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participio, c) possiamo sostituire il verbo ‘essere’ con un altro verbo che evidenzi lo</w:t>
      </w:r>
      <w:r w:rsidR="00C1553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stato, che consegue come risultato del fatto che la porta è stata chiusa anteriormente:</w:t>
      </w:r>
    </w:p>
    <w:p w:rsidR="00F944BA" w:rsidRPr="00F944BA" w:rsidRDefault="00F944BA" w:rsidP="00C155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(4b) La porta è chiusa violentemente.</w:t>
      </w:r>
    </w:p>
    <w:p w:rsidR="00F944BA" w:rsidRPr="00F944BA" w:rsidRDefault="00F944BA" w:rsidP="00C155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(4c) La porta rimane chiusa.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Nelle costruzioni con un participio che funge da compl. predicativo dell’oggetto, il</w:t>
      </w:r>
      <w:r w:rsidR="00C1553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participio può avere solo valore aggettivale:</w:t>
      </w:r>
    </w:p>
    <w:p w:rsidR="00F944BA" w:rsidRPr="00F944BA" w:rsidRDefault="00F944BA" w:rsidP="00C155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(5a) Tengo la porta chiusa. (5b)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*Tengo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la porta chiusa violentemente.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Inoltre, in queste costruzioni l’aggettivo può avere la forma del comparativo, come il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participio poteva averlo nella costruzione latina:</w:t>
      </w:r>
    </w:p>
    <w:p w:rsidR="00F944BA" w:rsidRPr="00F944BA" w:rsidRDefault="00F944BA" w:rsidP="00C155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(6a) Tengo gli occhi più aperti.</w:t>
      </w:r>
    </w:p>
    <w:p w:rsidR="00F944BA" w:rsidRPr="00F944BA" w:rsidRDefault="00F944BA" w:rsidP="00C155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(6b)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comitiorum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dilationes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occupatiorem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me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habebant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(Celio, in Cicerone, Ad</w:t>
      </w:r>
    </w:p>
    <w:p w:rsidR="00F944BA" w:rsidRPr="00F944BA" w:rsidRDefault="00F944BA" w:rsidP="00C155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familiares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, VIII, 4, 3) ‘le lungaggini delle assemblee mi tenevano piuttosto occupato’</w:t>
      </w: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Le caratteristiche della struttura latina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Nella struttura latina, dunque, abbiamo due relazioni sintattiche: una relazione di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reggenza e una relazione di predicazione: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proofErr w:type="spellStart"/>
      <w:r w:rsidRPr="0003604D">
        <w:rPr>
          <w:rFonts w:ascii="Garamond" w:hAnsi="Garamond" w:cs="Times-Roman"/>
          <w:i/>
          <w:color w:val="000000"/>
          <w:sz w:val="24"/>
          <w:szCs w:val="24"/>
          <w:lang w:val="it-IT"/>
        </w:rPr>
        <w:t>habeo</w:t>
      </w:r>
      <w:proofErr w:type="spellEnd"/>
      <w:r w:rsidRPr="0003604D">
        <w:rPr>
          <w:rFonts w:ascii="Garamond" w:hAnsi="Garamond" w:cs="Times-Roman"/>
          <w:i/>
          <w:color w:val="000000"/>
          <w:sz w:val="24"/>
          <w:szCs w:val="24"/>
          <w:lang w:val="it-IT"/>
        </w:rPr>
        <w:t xml:space="preserve"> [</w:t>
      </w:r>
      <w:proofErr w:type="spellStart"/>
      <w:r w:rsidRPr="0003604D">
        <w:rPr>
          <w:rFonts w:ascii="Garamond" w:hAnsi="Garamond" w:cs="Times-Roman"/>
          <w:i/>
          <w:color w:val="000000"/>
          <w:sz w:val="24"/>
          <w:szCs w:val="24"/>
          <w:lang w:val="it-IT"/>
        </w:rPr>
        <w:t>epistulam</w:t>
      </w:r>
      <w:proofErr w:type="spellEnd"/>
      <w:r w:rsidRPr="0003604D">
        <w:rPr>
          <w:rFonts w:ascii="Garamond" w:hAnsi="Garamond" w:cs="Times-Roman"/>
          <w:i/>
          <w:color w:val="000000"/>
          <w:sz w:val="24"/>
          <w:szCs w:val="24"/>
          <w:lang w:val="it-IT"/>
        </w:rPr>
        <w:t xml:space="preserve"> </w:t>
      </w:r>
      <w:proofErr w:type="spellStart"/>
      <w:r w:rsidRPr="0003604D">
        <w:rPr>
          <w:rFonts w:ascii="Garamond" w:hAnsi="Garamond" w:cs="Times-Roman"/>
          <w:i/>
          <w:color w:val="000000"/>
          <w:sz w:val="24"/>
          <w:szCs w:val="24"/>
          <w:lang w:val="it-IT"/>
        </w:rPr>
        <w:t>scriptam</w:t>
      </w:r>
      <w:proofErr w:type="spellEnd"/>
      <w:r w:rsidRPr="0003604D">
        <w:rPr>
          <w:rFonts w:ascii="Garamond" w:hAnsi="Garamond" w:cs="Times-Roman"/>
          <w:i/>
          <w:color w:val="000000"/>
          <w:sz w:val="24"/>
          <w:szCs w:val="24"/>
          <w:lang w:val="it-IT"/>
        </w:rPr>
        <w:t>]</w:t>
      </w:r>
    </w:p>
    <w:p w:rsidR="00F944BA" w:rsidRPr="00F944BA" w:rsidRDefault="0003604D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>
        <w:rPr>
          <w:rFonts w:ascii="Garamond" w:hAnsi="Garamond" w:cs="Times-Roman"/>
          <w:color w:val="000000"/>
          <w:sz w:val="24"/>
          <w:szCs w:val="24"/>
          <w:lang w:val="it-IT"/>
        </w:rPr>
        <w:t xml:space="preserve">                                         </w:t>
      </w:r>
      <w:r w:rsidR="00F944BA" w:rsidRPr="00F944BA">
        <w:rPr>
          <w:rFonts w:ascii="Garamond" w:hAnsi="Garamond" w:cs="Times-Roman"/>
          <w:color w:val="000000"/>
          <w:sz w:val="24"/>
          <w:szCs w:val="24"/>
          <w:lang w:val="it-IT"/>
        </w:rPr>
        <w:t>reggenza predicazione</w:t>
      </w:r>
    </w:p>
    <w:p w:rsidR="00C1553A" w:rsidRDefault="00C1553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C1553A" w:rsidRDefault="00C1553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La struttura latina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Il significato è: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Possiedo (il risultato del fatto che) una lettera (è stata) scritta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. In questa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struttura non esiste nessun rapporto diretto tra HABEO e SCRIPTAM (cfr. 7), tanto che il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soggetto di HABEO può essere diverso dal soggetto (semantico) di SCRIPTAM. Anche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nelle fasi più antiche delle lingue romanze, la costruzione HABÉRE, TENÉRE + part. pass.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esprimeva il possesso di un’entità che si trovava nello stato descritto dal part. pass. (cfr.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il francese antico in 8):</w:t>
      </w:r>
    </w:p>
    <w:p w:rsidR="00F944BA" w:rsidRPr="00F944BA" w:rsidRDefault="00F944BA" w:rsidP="00C155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(7)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duces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comprehénsós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tenétis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(Cicerone) ‘Tenete i capi in stato di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arresto’</w:t>
      </w:r>
      <w:proofErr w:type="spellEnd"/>
    </w:p>
    <w:p w:rsidR="00F944BA" w:rsidRPr="00F944BA" w:rsidRDefault="00F944BA" w:rsidP="00C155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en-US"/>
        </w:rPr>
        <w:t xml:space="preserve">(8) et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en-US"/>
        </w:rPr>
        <w:t>chis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en-US"/>
        </w:rPr>
        <w:t>emperes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en-US"/>
        </w:rPr>
        <w:t>avoit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en-US"/>
        </w:rPr>
        <w:t>lettres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en-US"/>
        </w:rPr>
        <w:t>seur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en-US"/>
        </w:rPr>
        <w:t>lui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en-US"/>
        </w:rPr>
        <w:t>ecrites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en-US"/>
        </w:rPr>
        <w:t xml:space="preserve"> qui…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(Robert de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Clari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) ‘E questo</w:t>
      </w:r>
    </w:p>
    <w:p w:rsidR="00F944BA" w:rsidRPr="00F944BA" w:rsidRDefault="00F944BA" w:rsidP="00C155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imperatore aveva delle lettere scritte su di lui, che...’</w:t>
      </w: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Le caratteristiche della perifrasi romanza moderna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Differenza nella struttura sintattica: 1) nella perifrasi romanza esiste una relazione tra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avere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e il participio (di reggenza o di modificazione), il soggetto di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avere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e il soggetto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del participio sono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coreferenziali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; il participio non può essere separato dall’ausiliare 2)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: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il participio ha funzione verbale e regge il complemento oggetto.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ho [scritto la lettera]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reggenza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reggenza</w:t>
      </w:r>
      <w:proofErr w:type="spellEnd"/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La struttura romanza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Il significato: HABÉRE diventa un </w:t>
      </w: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ausiliare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, e la struttura della frase viene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rianalizzata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;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la frase denota non più qualcuno che possiede un oggetto avente le proprietà denotate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dal participio passato, ma qualcuno che ha fatto l’azione descritta dal participio. La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rianalisi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sintattica comporta un cambiamento nella struttura argomentale del verbo.</w:t>
      </w:r>
    </w:p>
    <w:p w:rsidR="00F944BA" w:rsidRPr="00F944BA" w:rsidRDefault="00F944BA" w:rsidP="00C155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Resti della costruzione latina</w:t>
      </w:r>
      <w:r w:rsidR="00C1553A">
        <w:rPr>
          <w:rFonts w:ascii="Garamond" w:hAnsi="Garamond" w:cs="Times-Roman"/>
          <w:color w:val="000000"/>
          <w:sz w:val="24"/>
          <w:szCs w:val="24"/>
          <w:lang w:val="it-IT"/>
        </w:rPr>
        <w:t>:</w:t>
      </w:r>
    </w:p>
    <w:p w:rsidR="00C1553A" w:rsidRDefault="00F944BA" w:rsidP="00C155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(9a) Ho scritta una lettera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: </w:t>
      </w:r>
    </w:p>
    <w:p w:rsidR="0003604D" w:rsidRDefault="00F944BA" w:rsidP="0003604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Nell’italiano antico l’accordo riflette la relazione antica di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tipo predicativo, ma il significato è già quello moderno. L’italiano moderno ha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semplificato il sistema, il reggente non si accorda col retto. Il participio si accorda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invece con l’oggetto diretto pronominale (soprattutto in 3a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pers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.): </w:t>
      </w:r>
    </w:p>
    <w:p w:rsidR="0003604D" w:rsidRDefault="0003604D" w:rsidP="0003604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r>
        <w:rPr>
          <w:rFonts w:ascii="Garamond" w:hAnsi="Garamond" w:cs="Times-Roman"/>
          <w:color w:val="000000"/>
          <w:sz w:val="24"/>
          <w:szCs w:val="24"/>
          <w:lang w:val="it-IT"/>
        </w:rPr>
        <w:tab/>
      </w:r>
      <w:r w:rsidR="00F944BA"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(9b) L’ho scritta. (9c)</w:t>
      </w:r>
      <w:r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proofErr w:type="spellStart"/>
      <w:r w:rsidR="00F944BA"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Je</w:t>
      </w:r>
      <w:proofErr w:type="spellEnd"/>
      <w:r w:rsidR="00F944BA"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="00F944BA"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vous</w:t>
      </w:r>
      <w:proofErr w:type="spellEnd"/>
      <w:r w:rsidR="00F944BA"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ai </w:t>
      </w:r>
      <w:proofErr w:type="spellStart"/>
      <w:r w:rsidR="00F944BA"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vus</w:t>
      </w:r>
      <w:proofErr w:type="spellEnd"/>
      <w:r w:rsidR="00F944BA"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.</w:t>
      </w:r>
    </w:p>
    <w:p w:rsidR="00F944BA" w:rsidRPr="00F944BA" w:rsidRDefault="00F944BA" w:rsidP="0003604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Invece, lo spagnolo e il portoghese hanno completamente eliminato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l’accordo con l’oggetto.</w:t>
      </w: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 xml:space="preserve">La storia dell’ausiliare </w:t>
      </w:r>
      <w:r w:rsidRPr="00F944BA"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  <w:t>essere</w:t>
      </w:r>
    </w:p>
    <w:p w:rsidR="0003604D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In molte lingue dell’Europa il passivo è formalmente identico al perfetto degli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inaccusativi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con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essere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(si ritiene che il soggetto delle due costruzioni sia un argomento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interno). Dalla prospettiva diacronica,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essere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può essersi stabilito come ausiliare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perfettivo usato con gli </w:t>
      </w:r>
      <w:proofErr w:type="spellStart"/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inaccusativi</w:t>
      </w:r>
      <w:proofErr w:type="spellEnd"/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 xml:space="preserve"> </w:t>
      </w:r>
      <w:r w:rsidR="0003604D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grazie al parallelismo nella struttura argomentale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dei verbi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inaccusativi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e il costrutto latino con i verbi </w:t>
      </w: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 xml:space="preserve">passivi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(per es. AMATUR ‘è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amato/a’) e i cosiddetti verbi </w:t>
      </w: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deponenti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, i quali hanno una morfosintassi passiva, ma un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significato attivo (per es. MORITUR ‘muore’). Già in latino ESSE era usato come ausiliare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perfettivo con i passivi e i deponenti. Il perfetto di queste costruzioni è formata dal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participio e il presente del verbo essere: </w:t>
      </w:r>
    </w:p>
    <w:p w:rsidR="0003604D" w:rsidRDefault="00F944BA" w:rsidP="000360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(10a) amata est ‘è stata amata’ (10b)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mortuaest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‘è morta’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. </w:t>
      </w:r>
    </w:p>
    <w:p w:rsidR="00F944BA" w:rsidRPr="00F944BA" w:rsidRDefault="00F944BA" w:rsidP="0003604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L’uso del verbo HABERE era originariamente limitato ai predicati transitivi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e solo con l’indebolimento semantico e la perdita delle restrizioni di selezione ha potuto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estendere il suo campo ai verbi intransitivi.</w:t>
      </w: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  <w:t>2.3 Che cosa è successo?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Il cambiamento è cominciato a livello semantico: l</w:t>
      </w:r>
      <w:r w:rsidR="00C1553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a struttura del latino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ha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cambiato di significato e il nuovo significato della costruzione ha imposto una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ristrutturazione sintattica che ha portato al</w:t>
      </w:r>
      <w:r w:rsidR="00C1553A">
        <w:rPr>
          <w:rFonts w:ascii="Garamond" w:hAnsi="Garamond" w:cs="Times-Roman"/>
          <w:color w:val="000000"/>
          <w:sz w:val="24"/>
          <w:szCs w:val="24"/>
          <w:lang w:val="it-IT"/>
        </w:rPr>
        <w:t>la struttura romanza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.</w:t>
      </w: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a) Lo svuotamento del significato del verbo HABEO</w:t>
      </w:r>
    </w:p>
    <w:p w:rsidR="00F944BA" w:rsidRPr="0003604D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Originariamente è un sinonimo di TENEO, poi già nel latino classico esprime una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relazione, come farà nell’italiano: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(11a) Piero ha fame. (11b) Piero ha 30 anni. (11c)</w:t>
      </w:r>
    </w:p>
    <w:p w:rsidR="00F944BA" w:rsidRPr="00F944BA" w:rsidRDefault="00F944BA" w:rsidP="0003604D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quattuor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et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triginta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tum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habebat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annos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(Cicerone,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Brutus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, 161) ‘aveva allora</w:t>
      </w:r>
    </w:p>
    <w:p w:rsidR="00F944BA" w:rsidRPr="00F944BA" w:rsidRDefault="00F944BA" w:rsidP="0003604D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trentaquattro anni’</w:t>
      </w:r>
    </w:p>
    <w:p w:rsidR="0003604D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Prove dello svuotamento: può essere sostituito da una parafrasi col verbo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essere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: </w:t>
      </w:r>
    </w:p>
    <w:p w:rsidR="00F944BA" w:rsidRPr="00F944BA" w:rsidRDefault="00F944BA" w:rsidP="0003604D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(11d)</w:t>
      </w:r>
      <w:r w:rsidR="0003604D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Piero è affamato. (11e) Piero è trentenne.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Avere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in molti casi corrisponde a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essere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, il verbo che per eccellenza indica relazione,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solo che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avere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soggettivizza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uno dei partecipanti (una relazione simile esiste tra attivo e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passivo): 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ab/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(12a) C’è un buco nella mia tasca. (12b) Ho un buco nella tasca.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Espressione del possesso in latino: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(12c)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Mihi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domus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est. (12d)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Domum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habeo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.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Così, </w:t>
      </w: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 xml:space="preserve">analogamente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alle costruzioni con SUM, che potevano avere sia significato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verbale (passivo) che aggettivale (stato), le costruzioni con HABEO, che originariamente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avevano solo un significato aggettivale, assumono anche un significato verbale.</w:t>
      </w: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b) La frequente coincidenza fra il soggetto di HABEO e il soggetto del participio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Soprattutto con i verbi indicanti attività intellettuale, visto che la conoscenza che uno ha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è frutto della propria attività cognitiva</w:t>
      </w:r>
    </w:p>
    <w:p w:rsidR="00F944BA" w:rsidRPr="00F944BA" w:rsidRDefault="00F944BA" w:rsidP="0003604D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(13)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haberem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a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Furnio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… tua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consilia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cognita (Cicerone,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Epistulae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ad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familiares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, X,</w:t>
      </w:r>
    </w:p>
    <w:p w:rsidR="00F944BA" w:rsidRPr="00F944BA" w:rsidRDefault="00F944BA" w:rsidP="0003604D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12, 1) ‘sapevo da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Furnio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le tue intenzioni’</w:t>
      </w: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Il mutamento semantico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Con lo svuotamento semantico di HABEO, l’asse principale dell’interpretazione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semantica si sposta al rapporto diretto fra il soggetto e i complementi di HABEO, prima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di tutto il participio, a causa dell’identità fra i loro soggetti (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coreferenza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). Dato che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HABEO non conta nell’interpretazione semantica della costruzione, il participio finisce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col perdere il suo carattere aggettivale ed assume carattere verbale. La costruzione che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indicava il </w:t>
      </w: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possesso del risultato di un’azione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, viene a significare </w:t>
      </w: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l’azione stessa al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passato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. Inoltre, il perfetto latino era bivalente, incorporava le funzioni dell’aoristico e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del perfetto. Quest’ultima funzione sarà occupata dal nuovo costrutto perché l’ausiliare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avere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al presente è capace di esprimere la rilevanza diretta e la connessione al momento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presente.</w:t>
      </w: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Il mutamento sintattico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Il mutamento sintattico deve essere avvenuto solo molto più tardi. In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fr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. ant., per es.,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compl. oggetto e participio continuano a comportarsi come due costituenti separati,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esattamente come in latino (cfr. es. 8). Una volta avvenuto il cambiamento semantico, si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tende ad assegnare alla costruzione una nuova struttura sintattica che corrisponda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meglio alla struttura semantica e alla struttura generale della lingua in cui il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cambiamento avviene. Quindi in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scritta la lettera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,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scritta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è un verbo; siccome abbiamo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costruzioni come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scrive la lettera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(V + compl.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ogg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.), anche il rapporto tra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scritta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e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la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lettera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verrà interpretato analogicamente come un rapporto di reggenza.</w:t>
      </w: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03604D" w:rsidRDefault="0003604D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03604D" w:rsidRDefault="0003604D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03604D" w:rsidRDefault="0003604D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03604D" w:rsidRDefault="0003604D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La grammaticalizzazione degli ausiliari</w:t>
      </w:r>
    </w:p>
    <w:p w:rsidR="0003604D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Uno dei più comuni processi di grammaticalizzazione è: </w:t>
      </w:r>
    </w:p>
    <w:p w:rsidR="0003604D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verbo lessicale &gt; ausiliare &gt;affisso di aspetto, tempo o modo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. </w:t>
      </w:r>
    </w:p>
    <w:p w:rsidR="00F944BA" w:rsidRPr="0003604D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Anche in altre lingue il verbo che esprime il</w:t>
      </w:r>
      <w:r w:rsidR="0003604D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possesso può essere usato per formare il passato. Per es. in tedesco, indipendentemente,</w:t>
      </w:r>
      <w:r w:rsidR="0003604D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ma parallelamente all’italiano.</w:t>
      </w: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"/>
          <w:b/>
          <w:bCs/>
          <w:color w:val="000000"/>
          <w:sz w:val="24"/>
          <w:szCs w:val="24"/>
          <w:lang w:val="it-IT"/>
        </w:rPr>
        <w:t>Differenze nella selezione dell’ausiliare</w:t>
      </w:r>
    </w:p>
    <w:p w:rsidR="0003604D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Non in tutte le lingue romanze esiste l’alternanza tra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essere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e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avere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e anche dove esiste,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non riguarda lo stesso gruppo di verbi ovunque (per es.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fr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.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j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’ai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été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–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it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.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sono stato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).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Esiste un numero ristretto di verbi intransitivi che selezionano essere in tutte le lingue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="00C1553A">
        <w:rPr>
          <w:rFonts w:ascii="Garamond" w:hAnsi="Garamond" w:cs="Times-Roman"/>
          <w:color w:val="000000"/>
          <w:sz w:val="24"/>
          <w:szCs w:val="24"/>
          <w:lang w:val="it-IT"/>
        </w:rPr>
        <w:t>dove c’è l’alt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ernanza, mentre altri intransitivi mostrano un comportamento meno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regolare, selezionando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essere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in alcune lingue e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avere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in altre. In base a questi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fenomeni, possiamo stabilire la gerarchia dell’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inaccusatività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, in cui i membri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“centrali/nucleari” selezionano con maggiore possibilità l’ausiliare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essere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e i membri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“periferici” sono più suscettibili ai mutamenti analogici a favore di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avere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: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cambiamento di luogo &gt; cambiamento di stato &gt; continuazione di stati preesistenti &gt;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esistenza di uno stato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Il verbo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avere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non si è diffusa nei domini di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essere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accidentalmente. È apparso prima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con i verbi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inaccusativi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“periferici” e poi con </w:t>
      </w:r>
      <w:r w:rsidR="0001474C">
        <w:rPr>
          <w:rFonts w:ascii="Garamond" w:hAnsi="Garamond" w:cs="Times-Roman"/>
          <w:color w:val="000000"/>
          <w:sz w:val="24"/>
          <w:szCs w:val="24"/>
          <w:lang w:val="it-IT"/>
        </w:rPr>
        <w:t xml:space="preserve">gli </w:t>
      </w:r>
      <w:proofErr w:type="spellStart"/>
      <w:r w:rsidR="0001474C">
        <w:rPr>
          <w:rFonts w:ascii="Garamond" w:hAnsi="Garamond" w:cs="Times-Roman"/>
          <w:color w:val="000000"/>
          <w:sz w:val="24"/>
          <w:szCs w:val="24"/>
          <w:lang w:val="it-IT"/>
        </w:rPr>
        <w:t>inaccusativi</w:t>
      </w:r>
      <w:proofErr w:type="spellEnd"/>
      <w:r w:rsidR="0001474C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“nucleari”. La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generalizzazione di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avere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a scapito di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essere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è una rea</w:t>
      </w:r>
      <w:r w:rsidR="0001474C">
        <w:rPr>
          <w:rFonts w:ascii="Garamond" w:hAnsi="Garamond" w:cs="Times-Roman"/>
          <w:color w:val="000000"/>
          <w:sz w:val="24"/>
          <w:szCs w:val="24"/>
          <w:lang w:val="it-IT"/>
        </w:rPr>
        <w:t xml:space="preserve">zione analogica ad una marca di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tempo/aspetto “irregolare”.</w:t>
      </w: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Riflessivi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I riflessivi in italiano moderno prendono l’ausiliare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essere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. La variazione dell’ausiliare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deve aver avuto inizio con i riflessivi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inaccusativi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:</w:t>
      </w:r>
    </w:p>
    <w:p w:rsidR="00F944BA" w:rsidRPr="00F944BA" w:rsidRDefault="0003604D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r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r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ab/>
      </w:r>
      <w:r w:rsidR="00F944BA"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(14a) Li occhi miei [...] </w:t>
      </w:r>
      <w:proofErr w:type="spellStart"/>
      <w:r w:rsidR="00F944BA"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rivolsersi</w:t>
      </w:r>
      <w:proofErr w:type="spellEnd"/>
      <w:r w:rsidR="00F944BA"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a luce che promessa tanto si </w:t>
      </w:r>
      <w:proofErr w:type="spellStart"/>
      <w:r w:rsidR="00F944BA" w:rsidRPr="00F944BA"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  <w:t>avea</w:t>
      </w:r>
      <w:proofErr w:type="spellEnd"/>
      <w:r w:rsidR="00F944BA" w:rsidRPr="00F944BA"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  <w:t xml:space="preserve"> </w:t>
      </w:r>
      <w:r w:rsidR="00F944BA"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(Dante, </w:t>
      </w:r>
      <w:proofErr w:type="spellStart"/>
      <w:r w:rsidR="00F944BA"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Paradis</w:t>
      </w:r>
      <w:proofErr w:type="spellEnd"/>
      <w:r w:rsidR="00F944BA"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)</w:t>
      </w:r>
    </w:p>
    <w:p w:rsidR="00F944BA" w:rsidRPr="00F944BA" w:rsidRDefault="00F944BA" w:rsidP="000360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(14b)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Se’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l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figliuol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di Dio non </w:t>
      </w:r>
      <w:r w:rsidRPr="00F944BA"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  <w:t xml:space="preserve">fosse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umiliato ad incarnarsi (Dante, Paradiso)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Mentre nell’italiano moderno l’ausiliare essere si è generalizzato per tutti i verbi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riflessivi, in siciliano assistiamo allo sviluppo opposto: l’uso dell’ausiliare avere si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ab/>
        <w:t xml:space="preserve">diffonde con i riflessivi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(come con tutti gli altri verbi), ma i riflessivi </w:t>
      </w:r>
      <w:proofErr w:type="spellStart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inaccusativi</w:t>
      </w:r>
      <w:proofErr w:type="spellEnd"/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sono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quelli a resistere più a lungo:</w:t>
      </w:r>
    </w:p>
    <w:p w:rsidR="00F944BA" w:rsidRPr="00F944BA" w:rsidRDefault="00F944BA" w:rsidP="000360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(14c)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Et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  <w:t>essendu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si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alluntanati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... (siciliano antico)</w:t>
      </w:r>
    </w:p>
    <w:p w:rsidR="00F944BA" w:rsidRPr="00F944BA" w:rsidRDefault="00F944BA" w:rsidP="000360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(14d) La sua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dulci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mugleri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[...] si </w:t>
      </w:r>
      <w:proofErr w:type="spellStart"/>
      <w:r w:rsidRPr="00F944BA"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  <w:t>avia</w:t>
      </w:r>
      <w:proofErr w:type="spellEnd"/>
      <w:r w:rsidRPr="00F944BA"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auchisu</w:t>
      </w:r>
      <w:proofErr w:type="spellEnd"/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 xml:space="preserve"> [ucciso] (siciliano antico)</w:t>
      </w: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</w:pPr>
    </w:p>
    <w:p w:rsidR="0001474C" w:rsidRDefault="0001474C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</w:pP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</w:pPr>
      <w:bookmarkStart w:id="0" w:name="_GoBack"/>
      <w:bookmarkEnd w:id="0"/>
      <w:r w:rsidRPr="00F944BA"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  <w:t>2.4 Perché il passato è rimasto analitico, mentre il futuro è diventato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BoldItalic"/>
          <w:b/>
          <w:bCs/>
          <w:i/>
          <w:iCs/>
          <w:color w:val="000000"/>
          <w:sz w:val="24"/>
          <w:szCs w:val="24"/>
          <w:lang w:val="it-IT"/>
        </w:rPr>
        <w:t>sintetico?</w:t>
      </w:r>
    </w:p>
    <w:p w:rsidR="00F944BA" w:rsidRPr="00F944BA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La storia morfosintattica di HABEO CANTATUM e CANTARE HABEO è simile, eccetto la</w:t>
      </w:r>
    </w:p>
    <w:p w:rsidR="0003604D" w:rsidRDefault="00F944BA" w:rsidP="00F944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relativa anali</w:t>
      </w:r>
      <w:r w:rsidR="00C1553A">
        <w:rPr>
          <w:rFonts w:ascii="Garamond" w:hAnsi="Garamond" w:cs="Times-Roman"/>
          <w:color w:val="000000"/>
          <w:sz w:val="24"/>
          <w:szCs w:val="24"/>
          <w:lang w:val="it-IT"/>
        </w:rPr>
        <w:t>ti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cità del primo. La differenza dovrà essere cercata nelle condizioni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sintattiche in cui la grammaticalizzazione è avvenuta. Una delle spiegazioni possibili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collega la formazione dei due costrutti al cambiamento nell’ordine delle parole.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</w:p>
    <w:p w:rsidR="000408DF" w:rsidRPr="0003604D" w:rsidRDefault="00F944BA" w:rsidP="0003604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-Roman"/>
          <w:color w:val="000000"/>
          <w:sz w:val="24"/>
          <w:szCs w:val="24"/>
          <w:lang w:val="it-IT"/>
        </w:rPr>
      </w:pP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L’ordine OV era ancora dominante nel periodo in cui si è formato il futuro, mentre la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consolidazione della struttura perfettiva è avvenuta dopo il cambiamento OV </w:t>
      </w:r>
      <w:r w:rsidRPr="00F944BA">
        <w:rPr>
          <w:rFonts w:ascii="Garamond" w:hAnsi="Garamond" w:cs="TTE26B8008t00"/>
          <w:color w:val="000000"/>
          <w:sz w:val="24"/>
          <w:szCs w:val="24"/>
          <w:lang w:val="it-IT"/>
        </w:rPr>
        <w:t xml:space="preserve">_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VO.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Nel primo periodo esisteva una flessibilità sintattica maggiore, dovuta alla flessione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 xml:space="preserve">latina, così qualsiasi elemento che avrebbe potuto inserirsi tra l’infinito e </w:t>
      </w:r>
      <w:r w:rsidRPr="00F944BA">
        <w:rPr>
          <w:rFonts w:ascii="Garamond" w:hAnsi="Garamond" w:cs="Times-Italic"/>
          <w:i/>
          <w:iCs/>
          <w:color w:val="000000"/>
          <w:sz w:val="24"/>
          <w:szCs w:val="24"/>
          <w:lang w:val="it-IT"/>
        </w:rPr>
        <w:t>avere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, poteva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essere spostato fuori dal complesso verbale. La sintassi più rigida del latino tardo e del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romanzo, lasciava meno posizioni alternative per eventuali elementi inseriti, il che avrà</w:t>
      </w:r>
      <w:r w:rsidR="0003604D">
        <w:rPr>
          <w:rFonts w:ascii="Garamond" w:hAnsi="Garamond" w:cs="Times-Roman"/>
          <w:color w:val="000000"/>
          <w:sz w:val="24"/>
          <w:szCs w:val="24"/>
          <w:lang w:val="it-IT"/>
        </w:rPr>
        <w:t xml:space="preserve"> </w:t>
      </w:r>
      <w:r w:rsidRPr="00F944BA">
        <w:rPr>
          <w:rFonts w:ascii="Garamond" w:hAnsi="Garamond" w:cs="Times-Roman"/>
          <w:color w:val="000000"/>
          <w:sz w:val="24"/>
          <w:szCs w:val="24"/>
          <w:lang w:val="it-IT"/>
        </w:rPr>
        <w:t>contribuito a conservare la separazione dei due elementi del passato composto.</w:t>
      </w:r>
    </w:p>
    <w:sectPr w:rsidR="000408DF" w:rsidRPr="0003604D" w:rsidSect="00C915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6DFB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6B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01191"/>
    <w:multiLevelType w:val="hybridMultilevel"/>
    <w:tmpl w:val="474493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CA6"/>
    <w:rsid w:val="0001474C"/>
    <w:rsid w:val="0003604D"/>
    <w:rsid w:val="000408DF"/>
    <w:rsid w:val="00237FCA"/>
    <w:rsid w:val="00C1553A"/>
    <w:rsid w:val="00C9157B"/>
    <w:rsid w:val="00DB1CA6"/>
    <w:rsid w:val="00F9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5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6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3597</Words>
  <Characters>20507</Characters>
  <Application>Microsoft Office Word</Application>
  <DocSecurity>4</DocSecurity>
  <Lines>170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PaPaPaola</dc:creator>
  <cp:keywords/>
  <dc:description/>
  <cp:lastModifiedBy>cotticelli</cp:lastModifiedBy>
  <cp:revision>2</cp:revision>
  <cp:lastPrinted>2011-03-16T08:28:00Z</cp:lastPrinted>
  <dcterms:created xsi:type="dcterms:W3CDTF">2011-03-16T08:53:00Z</dcterms:created>
  <dcterms:modified xsi:type="dcterms:W3CDTF">2011-03-16T08:53:00Z</dcterms:modified>
</cp:coreProperties>
</file>